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179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17999" w:rsidRDefault="00E916E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1799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17999">
        <w:rPr>
          <w:rFonts w:ascii="Times New Roman" w:eastAsia="Times New Roman" w:hAnsi="Times New Roman" w:cs="Times New Roman"/>
          <w:sz w:val="24"/>
          <w:szCs w:val="24"/>
        </w:rPr>
        <w:t xml:space="preserve">Poslovni broj: </w:t>
      </w:r>
      <w:proofErr w:type="spellStart"/>
      <w:r w:rsidR="00B759C4" w:rsidRPr="00817999">
        <w:rPr>
          <w:rFonts w:ascii="Times New Roman" w:eastAsia="Times New Roman" w:hAnsi="Times New Roman" w:cs="Times New Roman"/>
          <w:sz w:val="24"/>
          <w:szCs w:val="24"/>
        </w:rPr>
        <w:t>UsII</w:t>
      </w:r>
      <w:proofErr w:type="spellEnd"/>
      <w:r w:rsidR="00B759C4" w:rsidRPr="00817999">
        <w:rPr>
          <w:rFonts w:ascii="Times New Roman" w:eastAsia="Times New Roman" w:hAnsi="Times New Roman" w:cs="Times New Roman"/>
          <w:sz w:val="24"/>
          <w:szCs w:val="24"/>
        </w:rPr>
        <w:t>-</w:t>
      </w:r>
      <w:r w:rsidR="00817999">
        <w:rPr>
          <w:rFonts w:ascii="Times New Roman" w:eastAsia="Times New Roman" w:hAnsi="Times New Roman" w:cs="Times New Roman"/>
          <w:sz w:val="24"/>
          <w:szCs w:val="24"/>
        </w:rPr>
        <w:t>170</w:t>
      </w:r>
      <w:r w:rsidR="00671C41" w:rsidRPr="00817999">
        <w:rPr>
          <w:rFonts w:ascii="Times New Roman" w:eastAsia="Times New Roman" w:hAnsi="Times New Roman" w:cs="Times New Roman"/>
          <w:sz w:val="24"/>
          <w:szCs w:val="24"/>
        </w:rPr>
        <w:t>/1</w:t>
      </w:r>
      <w:r w:rsidR="00817999">
        <w:rPr>
          <w:rFonts w:ascii="Times New Roman" w:eastAsia="Times New Roman" w:hAnsi="Times New Roman" w:cs="Times New Roman"/>
          <w:sz w:val="24"/>
          <w:szCs w:val="24"/>
        </w:rPr>
        <w:t>9</w:t>
      </w:r>
      <w:r w:rsidR="00B759C4" w:rsidRPr="00817999">
        <w:rPr>
          <w:rFonts w:ascii="Times New Roman" w:eastAsia="Times New Roman" w:hAnsi="Times New Roman" w:cs="Times New Roman"/>
          <w:sz w:val="24"/>
          <w:szCs w:val="24"/>
        </w:rPr>
        <w:t>-</w:t>
      </w:r>
      <w:r w:rsidR="00817999">
        <w:rPr>
          <w:rFonts w:ascii="Times New Roman" w:eastAsia="Times New Roman" w:hAnsi="Times New Roman" w:cs="Times New Roman"/>
          <w:sz w:val="24"/>
          <w:szCs w:val="24"/>
        </w:rPr>
        <w:t>5</w:t>
      </w:r>
    </w:p>
    <w:p w:rsidR="00ED5275" w:rsidRPr="008179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179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179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179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1799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817999" w:rsidRDefault="00A04150" w:rsidP="00A04150">
      <w:pPr>
        <w:spacing w:after="0" w:line="240" w:lineRule="auto"/>
        <w:jc w:val="center"/>
        <w:rPr>
          <w:rFonts w:ascii="Times New Roman" w:eastAsia="Times New Roman" w:hAnsi="Times New Roman" w:cs="Times New Roman"/>
          <w:color w:val="000000"/>
          <w:sz w:val="24"/>
          <w:szCs w:val="24"/>
          <w:lang w:eastAsia="hr-HR"/>
        </w:rPr>
      </w:pPr>
      <w:r w:rsidRPr="00817999">
        <w:rPr>
          <w:rFonts w:ascii="Times New Roman" w:eastAsia="Times New Roman" w:hAnsi="Times New Roman" w:cs="Times New Roman"/>
          <w:color w:val="000000"/>
          <w:sz w:val="24"/>
          <w:szCs w:val="24"/>
          <w:lang w:eastAsia="hr-HR"/>
        </w:rPr>
        <w:t>U  I M E   R E P U B L I K E   H R V A T S K E</w:t>
      </w:r>
    </w:p>
    <w:p w:rsidR="00A04150" w:rsidRPr="00817999" w:rsidRDefault="00A04150" w:rsidP="00A04150">
      <w:pPr>
        <w:spacing w:after="0" w:line="240" w:lineRule="auto"/>
        <w:jc w:val="center"/>
        <w:rPr>
          <w:rFonts w:ascii="Times New Roman" w:eastAsia="Times New Roman" w:hAnsi="Times New Roman" w:cs="Times New Roman"/>
          <w:color w:val="000000"/>
          <w:sz w:val="24"/>
          <w:szCs w:val="24"/>
          <w:lang w:eastAsia="hr-HR"/>
        </w:rPr>
      </w:pPr>
      <w:r w:rsidRPr="00817999">
        <w:rPr>
          <w:rFonts w:ascii="Times New Roman" w:eastAsia="Times New Roman" w:hAnsi="Times New Roman" w:cs="Times New Roman"/>
          <w:color w:val="000000"/>
          <w:sz w:val="24"/>
          <w:szCs w:val="24"/>
          <w:lang w:eastAsia="hr-HR"/>
        </w:rPr>
        <w:t> </w:t>
      </w:r>
    </w:p>
    <w:p w:rsidR="00A04150" w:rsidRPr="00817999" w:rsidRDefault="00A04150" w:rsidP="00A04150">
      <w:pPr>
        <w:spacing w:after="0" w:line="240" w:lineRule="auto"/>
        <w:jc w:val="center"/>
        <w:rPr>
          <w:rFonts w:ascii="Times New Roman" w:eastAsia="Times New Roman" w:hAnsi="Times New Roman" w:cs="Times New Roman"/>
          <w:color w:val="000000"/>
          <w:sz w:val="24"/>
          <w:szCs w:val="24"/>
          <w:lang w:eastAsia="hr-HR"/>
        </w:rPr>
      </w:pPr>
      <w:r w:rsidRPr="00817999">
        <w:rPr>
          <w:rFonts w:ascii="Times New Roman" w:eastAsia="Times New Roman" w:hAnsi="Times New Roman" w:cs="Times New Roman"/>
          <w:color w:val="000000"/>
          <w:sz w:val="24"/>
          <w:szCs w:val="24"/>
          <w:lang w:eastAsia="hr-HR"/>
        </w:rPr>
        <w:t>P R E S U D A    </w:t>
      </w:r>
    </w:p>
    <w:p w:rsidR="00A04150" w:rsidRPr="00817999" w:rsidRDefault="00A04150" w:rsidP="00A04150">
      <w:pPr>
        <w:spacing w:after="0" w:line="240" w:lineRule="auto"/>
        <w:rPr>
          <w:rFonts w:ascii="Times New Roman" w:eastAsia="Times New Roman" w:hAnsi="Times New Roman" w:cs="Times New Roman"/>
          <w:color w:val="000000"/>
          <w:sz w:val="24"/>
          <w:szCs w:val="24"/>
          <w:lang w:eastAsia="hr-HR"/>
        </w:rPr>
      </w:pPr>
      <w:r w:rsidRPr="00817999">
        <w:rPr>
          <w:rFonts w:ascii="Times New Roman" w:eastAsia="Times New Roman" w:hAnsi="Times New Roman" w:cs="Times New Roman"/>
          <w:color w:val="000000"/>
          <w:sz w:val="24"/>
          <w:szCs w:val="24"/>
          <w:lang w:eastAsia="hr-HR"/>
        </w:rPr>
        <w:t> </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 xml:space="preserve">Visoki upravni sud Republike Hrvatske u vijeću sastavljenom od sudaca toga suda </w:t>
      </w:r>
      <w:proofErr w:type="spellStart"/>
      <w:r w:rsidRPr="00817999">
        <w:rPr>
          <w:rFonts w:ascii="Times New Roman" w:hAnsi="Times New Roman" w:cs="Times New Roman"/>
          <w:sz w:val="24"/>
          <w:szCs w:val="24"/>
        </w:rPr>
        <w:t>Arme</w:t>
      </w:r>
      <w:proofErr w:type="spellEnd"/>
      <w:r w:rsidRPr="00817999">
        <w:rPr>
          <w:rFonts w:ascii="Times New Roman" w:hAnsi="Times New Roman" w:cs="Times New Roman"/>
          <w:sz w:val="24"/>
          <w:szCs w:val="24"/>
        </w:rPr>
        <w:t xml:space="preserve"> </w:t>
      </w:r>
      <w:proofErr w:type="spellStart"/>
      <w:r w:rsidRPr="00817999">
        <w:rPr>
          <w:rFonts w:ascii="Times New Roman" w:hAnsi="Times New Roman" w:cs="Times New Roman"/>
          <w:sz w:val="24"/>
          <w:szCs w:val="24"/>
        </w:rPr>
        <w:t>Vagner</w:t>
      </w:r>
      <w:proofErr w:type="spellEnd"/>
      <w:r w:rsidRPr="00817999">
        <w:rPr>
          <w:rFonts w:ascii="Times New Roman" w:hAnsi="Times New Roman" w:cs="Times New Roman"/>
          <w:sz w:val="24"/>
          <w:szCs w:val="24"/>
        </w:rPr>
        <w:t xml:space="preserve"> Popović, predsjednice vijeća, Ane </w:t>
      </w:r>
      <w:proofErr w:type="spellStart"/>
      <w:r w:rsidRPr="00817999">
        <w:rPr>
          <w:rFonts w:ascii="Times New Roman" w:hAnsi="Times New Roman" w:cs="Times New Roman"/>
          <w:sz w:val="24"/>
          <w:szCs w:val="24"/>
        </w:rPr>
        <w:t>Berlengi</w:t>
      </w:r>
      <w:proofErr w:type="spellEnd"/>
      <w:r w:rsidRPr="00817999">
        <w:rPr>
          <w:rFonts w:ascii="Times New Roman" w:hAnsi="Times New Roman" w:cs="Times New Roman"/>
          <w:sz w:val="24"/>
          <w:szCs w:val="24"/>
        </w:rPr>
        <w:t xml:space="preserve"> </w:t>
      </w:r>
      <w:proofErr w:type="spellStart"/>
      <w:r w:rsidRPr="00817999">
        <w:rPr>
          <w:rFonts w:ascii="Times New Roman" w:hAnsi="Times New Roman" w:cs="Times New Roman"/>
          <w:sz w:val="24"/>
          <w:szCs w:val="24"/>
        </w:rPr>
        <w:t>Fellner</w:t>
      </w:r>
      <w:proofErr w:type="spellEnd"/>
      <w:r w:rsidRPr="00817999">
        <w:rPr>
          <w:rFonts w:ascii="Times New Roman" w:hAnsi="Times New Roman" w:cs="Times New Roman"/>
          <w:sz w:val="24"/>
          <w:szCs w:val="24"/>
        </w:rPr>
        <w:t xml:space="preserve"> i Mirjane Čačić, te više sudske savjetnice Ljerke </w:t>
      </w:r>
      <w:proofErr w:type="spellStart"/>
      <w:r w:rsidRPr="00817999">
        <w:rPr>
          <w:rFonts w:ascii="Times New Roman" w:hAnsi="Times New Roman" w:cs="Times New Roman"/>
          <w:sz w:val="24"/>
          <w:szCs w:val="24"/>
        </w:rPr>
        <w:t>Morović</w:t>
      </w:r>
      <w:proofErr w:type="spellEnd"/>
      <w:r w:rsidRPr="00817999">
        <w:rPr>
          <w:rFonts w:ascii="Times New Roman" w:hAnsi="Times New Roman" w:cs="Times New Roman"/>
          <w:sz w:val="24"/>
          <w:szCs w:val="24"/>
        </w:rPr>
        <w:t xml:space="preserve"> Pavić, zapisničarke, u upravnom sporu tužitelja </w:t>
      </w:r>
      <w:r w:rsidR="00817999">
        <w:rPr>
          <w:rFonts w:ascii="Times New Roman" w:hAnsi="Times New Roman" w:cs="Times New Roman"/>
          <w:sz w:val="24"/>
          <w:szCs w:val="24"/>
        </w:rPr>
        <w:t>.........</w:t>
      </w:r>
      <w:r w:rsidRPr="00817999">
        <w:rPr>
          <w:rFonts w:ascii="Times New Roman" w:hAnsi="Times New Roman" w:cs="Times New Roman"/>
          <w:sz w:val="24"/>
          <w:szCs w:val="24"/>
        </w:rPr>
        <w:t xml:space="preserve"> i</w:t>
      </w:r>
      <w:r w:rsidR="00817999">
        <w:rPr>
          <w:rFonts w:ascii="Times New Roman" w:hAnsi="Times New Roman" w:cs="Times New Roman"/>
          <w:sz w:val="24"/>
          <w:szCs w:val="24"/>
        </w:rPr>
        <w:t>z Zagreba</w:t>
      </w:r>
      <w:r w:rsidRPr="00817999">
        <w:rPr>
          <w:rFonts w:ascii="Times New Roman" w:hAnsi="Times New Roman" w:cs="Times New Roman"/>
          <w:sz w:val="24"/>
          <w:szCs w:val="24"/>
        </w:rPr>
        <w:t>, protiv tuženika Povjerenika za informiranje Republike Hrvatske, Z., radi prava na pristup informacijama, na sjednici vijeća održanoj dana 20. ožujka 2019.</w:t>
      </w:r>
    </w:p>
    <w:p w:rsidR="00CE1B1A" w:rsidRPr="00817999" w:rsidRDefault="00CE1B1A" w:rsidP="00817999">
      <w:pPr>
        <w:jc w:val="center"/>
        <w:rPr>
          <w:rFonts w:ascii="Times New Roman" w:hAnsi="Times New Roman" w:cs="Times New Roman"/>
          <w:sz w:val="24"/>
          <w:szCs w:val="24"/>
        </w:rPr>
      </w:pPr>
      <w:r w:rsidRPr="00817999">
        <w:rPr>
          <w:rFonts w:ascii="Times New Roman" w:hAnsi="Times New Roman" w:cs="Times New Roman"/>
          <w:sz w:val="24"/>
          <w:szCs w:val="24"/>
        </w:rPr>
        <w:t xml:space="preserve">p r e s u d i o </w:t>
      </w:r>
      <w:r w:rsidR="00817999">
        <w:rPr>
          <w:rFonts w:ascii="Times New Roman" w:hAnsi="Times New Roman" w:cs="Times New Roman"/>
          <w:sz w:val="24"/>
          <w:szCs w:val="24"/>
        </w:rPr>
        <w:t xml:space="preserve"> </w:t>
      </w:r>
      <w:r w:rsidRPr="00817999">
        <w:rPr>
          <w:rFonts w:ascii="Times New Roman" w:hAnsi="Times New Roman" w:cs="Times New Roman"/>
          <w:sz w:val="24"/>
          <w:szCs w:val="24"/>
        </w:rPr>
        <w:t>j e</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 xml:space="preserve">Tužbeni zahtjev se usvaja i poništava rješenje Povjerenika za informiranje Republike Hrvatske, klasa: UP/II-008-07/19-01/55, </w:t>
      </w:r>
      <w:proofErr w:type="spellStart"/>
      <w:r w:rsidRPr="00817999">
        <w:rPr>
          <w:rFonts w:ascii="Times New Roman" w:hAnsi="Times New Roman" w:cs="Times New Roman"/>
          <w:sz w:val="24"/>
          <w:szCs w:val="24"/>
        </w:rPr>
        <w:t>urbroj</w:t>
      </w:r>
      <w:proofErr w:type="spellEnd"/>
      <w:r w:rsidRPr="00817999">
        <w:rPr>
          <w:rFonts w:ascii="Times New Roman" w:hAnsi="Times New Roman" w:cs="Times New Roman"/>
          <w:sz w:val="24"/>
          <w:szCs w:val="24"/>
        </w:rPr>
        <w:t>: 401-01/05-19-2 od 13. veljače 2019.</w:t>
      </w:r>
    </w:p>
    <w:p w:rsidR="00CE1B1A" w:rsidRPr="00817999" w:rsidRDefault="00CE1B1A" w:rsidP="00817999">
      <w:pPr>
        <w:jc w:val="center"/>
        <w:rPr>
          <w:rFonts w:ascii="Times New Roman" w:hAnsi="Times New Roman" w:cs="Times New Roman"/>
          <w:sz w:val="24"/>
          <w:szCs w:val="24"/>
        </w:rPr>
      </w:pPr>
      <w:r w:rsidRPr="00817999">
        <w:rPr>
          <w:rFonts w:ascii="Times New Roman" w:hAnsi="Times New Roman" w:cs="Times New Roman"/>
          <w:sz w:val="24"/>
          <w:szCs w:val="24"/>
        </w:rPr>
        <w:t>Obrazloženje</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 xml:space="preserve">Rješenjem tuženika odbijena je žalba tužitelja izjavljena protiv rješenja Hrvatske banke za obnovu i razvitak, broj: 37/2018 od 27. prosinca 2018. Tim rješenjem odbijen je zahtjev tužitelja za pristup informacijama koje se odnose na popis svih krajnjih korisnika kredita/primatelji </w:t>
      </w:r>
      <w:proofErr w:type="spellStart"/>
      <w:r w:rsidRPr="00817999">
        <w:rPr>
          <w:rFonts w:ascii="Times New Roman" w:hAnsi="Times New Roman" w:cs="Times New Roman"/>
          <w:sz w:val="24"/>
          <w:szCs w:val="24"/>
        </w:rPr>
        <w:t>leasinga</w:t>
      </w:r>
      <w:proofErr w:type="spellEnd"/>
      <w:r w:rsidRPr="00817999">
        <w:rPr>
          <w:rFonts w:ascii="Times New Roman" w:hAnsi="Times New Roman" w:cs="Times New Roman"/>
          <w:sz w:val="24"/>
          <w:szCs w:val="24"/>
        </w:rPr>
        <w:t>/zajmoprimci koje je HBOR kreditirala u razdoblju od 1. do 30. rujna 2017., uz iznose kredita, pozivom na odredbu članka 23. stavak 5. točka 5. Zakona o pravu na pristup informacijama.</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 xml:space="preserve">Tužitelj u tužbi navodi da su zahtjevom obuhvaćene informacije koje se tiču raspolaganja javnim sredstvima u smislu članka 16. stavak 3. Zakona o pravu na pristup informacijama pa je nejasno kako bi postupanje po zahtjevu tužitelja ugrozilo redovito obavljanje djelatnosti Hrvatske banke za obnovu i razvitak kad bi po prirodi stvari već trebale biti javno objavljene, radi čega je pogrešno primijenjeno materijalno pravo. Iznos i podatak o </w:t>
      </w:r>
      <w:proofErr w:type="spellStart"/>
      <w:r w:rsidRPr="00817999">
        <w:rPr>
          <w:rFonts w:ascii="Times New Roman" w:hAnsi="Times New Roman" w:cs="Times New Roman"/>
          <w:sz w:val="24"/>
          <w:szCs w:val="24"/>
        </w:rPr>
        <w:t>tzv</w:t>
      </w:r>
      <w:proofErr w:type="spellEnd"/>
      <w:r w:rsidRPr="00817999">
        <w:rPr>
          <w:rFonts w:ascii="Times New Roman" w:hAnsi="Times New Roman" w:cs="Times New Roman"/>
          <w:sz w:val="24"/>
          <w:szCs w:val="24"/>
        </w:rPr>
        <w:t xml:space="preserve">. konačnom korisniku kredita, odnosno primatelju </w:t>
      </w:r>
      <w:proofErr w:type="spellStart"/>
      <w:r w:rsidRPr="00817999">
        <w:rPr>
          <w:rFonts w:ascii="Times New Roman" w:hAnsi="Times New Roman" w:cs="Times New Roman"/>
          <w:sz w:val="24"/>
          <w:szCs w:val="24"/>
        </w:rPr>
        <w:t>leasinga</w:t>
      </w:r>
      <w:proofErr w:type="spellEnd"/>
      <w:r w:rsidRPr="00817999">
        <w:rPr>
          <w:rFonts w:ascii="Times New Roman" w:hAnsi="Times New Roman" w:cs="Times New Roman"/>
          <w:sz w:val="24"/>
          <w:szCs w:val="24"/>
        </w:rPr>
        <w:t xml:space="preserve">, zajmoprimcu i slično, osim toga sadrži i posebne potpore u smislu dugoročnosti tako plasiranih kredita, te povoljnije kamate nego što su korisnicima dostupne pod uobičajenim uvjetima pa bi stoga traženi podaci trebali biti dostupni na mrežnim stranicama tijela javne vlasti. Poziva se na odredbu članka 10. stavak 1. točka 5. Zakona o pravu na pristup informacijama, članak 2. i 23. Zakona o Hrvatskoj banci za obnovu i razvitak te članak 3. stavak 1. točka 28. Zakona o kreditnim institucijama, presudu Vrhovnog suda Republike Hrvatske, </w:t>
      </w:r>
      <w:proofErr w:type="spellStart"/>
      <w:r w:rsidRPr="00817999">
        <w:rPr>
          <w:rFonts w:ascii="Times New Roman" w:hAnsi="Times New Roman" w:cs="Times New Roman"/>
          <w:sz w:val="24"/>
          <w:szCs w:val="24"/>
        </w:rPr>
        <w:t>posl</w:t>
      </w:r>
      <w:proofErr w:type="spellEnd"/>
      <w:r w:rsidRPr="00817999">
        <w:rPr>
          <w:rFonts w:ascii="Times New Roman" w:hAnsi="Times New Roman" w:cs="Times New Roman"/>
          <w:sz w:val="24"/>
          <w:szCs w:val="24"/>
        </w:rPr>
        <w:t>. br. U-</w:t>
      </w:r>
      <w:proofErr w:type="spellStart"/>
      <w:r w:rsidRPr="00817999">
        <w:rPr>
          <w:rFonts w:ascii="Times New Roman" w:hAnsi="Times New Roman" w:cs="Times New Roman"/>
          <w:sz w:val="24"/>
          <w:szCs w:val="24"/>
        </w:rPr>
        <w:t>zpz</w:t>
      </w:r>
      <w:proofErr w:type="spellEnd"/>
      <w:r w:rsidRPr="00817999">
        <w:rPr>
          <w:rFonts w:ascii="Times New Roman" w:hAnsi="Times New Roman" w:cs="Times New Roman"/>
          <w:sz w:val="24"/>
          <w:szCs w:val="24"/>
        </w:rPr>
        <w:t xml:space="preserve">-6/2016 od 17. listopada 2018. i presudu Visokog upravnog suda Republike Hrvatske, </w:t>
      </w:r>
      <w:proofErr w:type="spellStart"/>
      <w:r w:rsidRPr="00817999">
        <w:rPr>
          <w:rFonts w:ascii="Times New Roman" w:hAnsi="Times New Roman" w:cs="Times New Roman"/>
          <w:sz w:val="24"/>
          <w:szCs w:val="24"/>
        </w:rPr>
        <w:t>posl</w:t>
      </w:r>
      <w:proofErr w:type="spellEnd"/>
      <w:r w:rsidRPr="00817999">
        <w:rPr>
          <w:rFonts w:ascii="Times New Roman" w:hAnsi="Times New Roman" w:cs="Times New Roman"/>
          <w:sz w:val="24"/>
          <w:szCs w:val="24"/>
        </w:rPr>
        <w:t xml:space="preserve">. br. 460/18 od 30. siječnja 2019. Radi se o informaciji koja bi bila otisnuta na dvije stranice A4 pa je nerazumljivo obrazloženje tuženika da se radi o velikom broju stranica. Iz samog sadržaja zahtjeva ne proizlazi malicioznost postupanja tužitelja protiv tijela javne vlasti, niti proizlazi </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lastRenderedPageBreak/>
        <w:t>da bi njegova namjera bila šikaniranje tijela javne vlasti, zahtjev nije zlonamjerno intoniran, zbog čega je pogrešno primijenjen članak 25. stavak 5. točka 5. navedenog Zakona. Predlaže da Sud poništi rješenje tuženika.</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U odgovoru na tužbu tuženik osporava navode iste. Navodi kako se prilikom utvrđivanja zlouporabe prava na pristup informacijama ne razmatra samo tekući zahtjev za pristup informacijama, već se on razmatra u kombinaciji s ostalim tužiteljevim zahtjevima, a sa danom podnošenja predmetnog zahtjeva bilo je ukupno 40 zahtjeva za pristup informacijama te je stoga očito da je u konkretnom slučaju zbog ukupnog broja zahtjeva, učestalosti podnošenja zahtjeva i opsežnosti svih zahtjeva došlo do opterećenja rada i funkcioniranja tijela javne vlasti. Predlaže da Sud odbije tužbeni zahtjev tužitelja.</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Tužbeni zahtjev je osnovan.</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 xml:space="preserve">Iz spisa predmeta je razvidno da je zahtjev za dopunu informacija, kojim je tužitelj tražio dostavu popisa svih krajnjih korisnika kredita/primatelji </w:t>
      </w:r>
      <w:proofErr w:type="spellStart"/>
      <w:r w:rsidRPr="00817999">
        <w:rPr>
          <w:rFonts w:ascii="Times New Roman" w:hAnsi="Times New Roman" w:cs="Times New Roman"/>
          <w:sz w:val="24"/>
          <w:szCs w:val="24"/>
        </w:rPr>
        <w:t>leasinga</w:t>
      </w:r>
      <w:proofErr w:type="spellEnd"/>
      <w:r w:rsidRPr="00817999">
        <w:rPr>
          <w:rFonts w:ascii="Times New Roman" w:hAnsi="Times New Roman" w:cs="Times New Roman"/>
          <w:sz w:val="24"/>
          <w:szCs w:val="24"/>
        </w:rPr>
        <w:t>/zajmoprimci koje je HBOR kreditirala u razdoblju od 1. do 30. rujna 2017., uz iznose kredita, Hrvatska banka za obnovu i razvitak razmatrala kao novi zahtjev te isti odbila pozivom na odredbu članka 23. stavak 5. točka 5. Zakona o pravu na pristup informacijama („Narodne novine“, broj: 25/13. i 85/15.),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Tuženik je pobijanim rješenjem potvrdio pravilnost takvog stajališta Hrvatske banke za obnovu i razvitak te je opširno obrazložio subjektivni i objektivni element zlouporabe prava. Također je obrazloženo da je postupljeno po rješenju tuženika od 13. veljače 2018., kojim je naloženo HBOR-u dostavu preslike popisa svih korisnika kredita koje je kreditirala u razdoblju od 1. do 30. rujna 2017. uz iznose kredita, što je HBOR dopisom od 6. prosinca 2018. i učinio. U izreci rješenja nije naložena dostava preslike „krajnjih korisnika kredita“, već je naložena dostava dokumenata naziva „pregled odobrenih kredita od 1. do 30. rujna 2017.“, koja sadrži tablice „korisnik kredita“, „odobreno kn“ i „odobreno eur“, slijedom čega se ne može raditi o zahtjevu za dopunu i ispravak informacije, već o novom zahtjevu koji u konkretnom slučaju u kombinaciji sa ostalim zahtjevima za pristup informacijama dovodi do zlouporabe prava na pristup informacijama. Ocjenjuje da žaliteljevo kršenje instituta prava na pristup informacijama kolidira s javnim interesom zbog kojega navedeni institut postoji, ali ujedno predstavlja i obezvrjeđivanje njegova cilja i svrhe. Svako daljnje omogućavanje žalitelju da zlouporabljuje odredbe Zakona o pravu na pristup informacijama ima za posljedicu neopravdano opterećivanje rada i funkcioniranja tijela javne vlasti, predstavlja prepreku učinkovitom radu tijela te je u suprotnosti s načelima pravičnosti i pravne sigurnosti.</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 xml:space="preserve">Međutim, ovakvo stajalište tuženika ovaj Sud ne prihvaća. Naime, HBOR raspolaže javnim sredstvima a što proizlazi iz odredbe članka 5. stavak 2. Zakona o hrvatskoj banci za obnovu i razvitak ("Narodne novine", broj: 138/06. i 25/13.) prema kojoj temeljni kapital HBOR-a </w:t>
      </w:r>
      <w:r w:rsidRPr="00817999">
        <w:rPr>
          <w:rFonts w:ascii="Times New Roman" w:hAnsi="Times New Roman" w:cs="Times New Roman"/>
          <w:sz w:val="24"/>
          <w:szCs w:val="24"/>
        </w:rPr>
        <w:lastRenderedPageBreak/>
        <w:t xml:space="preserve">uplaćuje Republika Hrvatska iz Državnog proračuna, a sukladno odredbi članka 8. stavak 2. istog Zakona Republika Hrvatska jamči za obveze HBOR-a bezuvjetno, neopozivo i na prvi poziv te bez izdavanja posebne jamstvene isprave. Ovaj Sud je u presudi poslovni broj: </w:t>
      </w:r>
      <w:proofErr w:type="spellStart"/>
      <w:r w:rsidRPr="00817999">
        <w:rPr>
          <w:rFonts w:ascii="Times New Roman" w:hAnsi="Times New Roman" w:cs="Times New Roman"/>
          <w:sz w:val="24"/>
          <w:szCs w:val="24"/>
        </w:rPr>
        <w:t>UsII</w:t>
      </w:r>
      <w:proofErr w:type="spellEnd"/>
      <w:r w:rsidRPr="00817999">
        <w:rPr>
          <w:rFonts w:ascii="Times New Roman" w:hAnsi="Times New Roman" w:cs="Times New Roman"/>
          <w:sz w:val="24"/>
          <w:szCs w:val="24"/>
        </w:rPr>
        <w:t>-460/18 od 20. siječnja 2019., a na koju presudu upućuje i tužitelj u tužbi, već izrazio stajalište da sredstva državnog proračuna spadaju u javna sredstva te je kontrola korištenja sredstava iz državnog proračuna u interesu svih građana, a tužitelj, kao i svaka druga osoba, ima pravo saznanja o potrošnji javnih sredstava, koja bi radi transparentnosti tijela javne vlasti trebala biti dostupna i to sukladno odredbi članka 16. stavak 4. Zakona o pravu na pristup informacijama, bez provođenja testa razmjernosti javnog interesa, radi čega se ovdje ne može razmatrati pitanje zlouporabe prava tužitelja na pristup informacijama. Naime, kako se zahtjev odnosi na pristup podacima o raspolaganju javnim sredstvima, koji podaci moraju biti dostupni svakome, a što nadilazi eventualno opterećenje redovitog rada tijela javne vlasti, to u takvim slučajevima ne postoji mogućnost zlouporabe prava na pristup informacijama, zbog čega Sud nalazi da je tuženik u konkretnom slučaju povrijedio zakon na štetu tužitelja zbog pogrešne primjene materijalnog prava.</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Iz navedenih razloga Sud je tužbeni zahtjev uvažio i poništio rješenje tuženika koji će u ponovljenom postupku odlučiti o žalbi tužitelja sukladno pravnom shvaćanju i primjedbama suda.</w:t>
      </w:r>
    </w:p>
    <w:p w:rsidR="00CE1B1A" w:rsidRPr="00817999" w:rsidRDefault="00CE1B1A" w:rsidP="00CE1B1A">
      <w:pPr>
        <w:rPr>
          <w:rFonts w:ascii="Times New Roman" w:hAnsi="Times New Roman" w:cs="Times New Roman"/>
          <w:sz w:val="24"/>
          <w:szCs w:val="24"/>
        </w:rPr>
      </w:pPr>
      <w:r w:rsidRPr="00817999">
        <w:rPr>
          <w:rFonts w:ascii="Times New Roman" w:hAnsi="Times New Roman" w:cs="Times New Roman"/>
          <w:sz w:val="24"/>
          <w:szCs w:val="24"/>
        </w:rPr>
        <w:t>Trebalo je stoga temeljem odredbe članka 58. stavak 1. Zakona o upravnim sporovima ("Narodne novine", broj: 20/10., 143/12., 152/14., 94/16. i 29/17.) odlučiti kao u izreci presude.</w:t>
      </w:r>
    </w:p>
    <w:p w:rsidR="00CE1B1A" w:rsidRPr="00817999" w:rsidRDefault="00CE1B1A" w:rsidP="00817999">
      <w:pPr>
        <w:jc w:val="center"/>
        <w:rPr>
          <w:rFonts w:ascii="Times New Roman" w:hAnsi="Times New Roman" w:cs="Times New Roman"/>
          <w:sz w:val="24"/>
          <w:szCs w:val="24"/>
        </w:rPr>
      </w:pPr>
      <w:r w:rsidRPr="00817999">
        <w:rPr>
          <w:rFonts w:ascii="Times New Roman" w:hAnsi="Times New Roman" w:cs="Times New Roman"/>
          <w:sz w:val="24"/>
          <w:szCs w:val="24"/>
        </w:rPr>
        <w:t>U Zagrebu 20. ožujka 2019.</w:t>
      </w:r>
    </w:p>
    <w:p w:rsidR="00817999" w:rsidRDefault="00CE1B1A" w:rsidP="00817999">
      <w:pPr>
        <w:jc w:val="right"/>
        <w:rPr>
          <w:rFonts w:ascii="Times New Roman" w:hAnsi="Times New Roman" w:cs="Times New Roman"/>
          <w:sz w:val="24"/>
          <w:szCs w:val="24"/>
        </w:rPr>
      </w:pPr>
      <w:r w:rsidRPr="00817999">
        <w:rPr>
          <w:rFonts w:ascii="Times New Roman" w:hAnsi="Times New Roman" w:cs="Times New Roman"/>
          <w:sz w:val="24"/>
          <w:szCs w:val="24"/>
        </w:rPr>
        <w:t>Predsjednica vij</w:t>
      </w:r>
      <w:r w:rsidRPr="00817999">
        <w:rPr>
          <w:rFonts w:ascii="Times New Roman" w:hAnsi="Times New Roman" w:cs="Times New Roman"/>
          <w:sz w:val="24"/>
          <w:szCs w:val="24"/>
        </w:rPr>
        <w:t xml:space="preserve">eća </w:t>
      </w:r>
    </w:p>
    <w:p w:rsidR="00CE1B1A" w:rsidRPr="00817999" w:rsidRDefault="00CE1B1A" w:rsidP="00817999">
      <w:pPr>
        <w:jc w:val="right"/>
        <w:rPr>
          <w:rFonts w:ascii="Times New Roman" w:hAnsi="Times New Roman" w:cs="Times New Roman"/>
          <w:sz w:val="24"/>
          <w:szCs w:val="24"/>
        </w:rPr>
      </w:pPr>
      <w:proofErr w:type="spellStart"/>
      <w:r w:rsidRPr="00817999">
        <w:rPr>
          <w:rFonts w:ascii="Times New Roman" w:hAnsi="Times New Roman" w:cs="Times New Roman"/>
          <w:sz w:val="24"/>
          <w:szCs w:val="24"/>
        </w:rPr>
        <w:t>Arma</w:t>
      </w:r>
      <w:proofErr w:type="spellEnd"/>
      <w:r w:rsidRPr="00817999">
        <w:rPr>
          <w:rFonts w:ascii="Times New Roman" w:hAnsi="Times New Roman" w:cs="Times New Roman"/>
          <w:sz w:val="24"/>
          <w:szCs w:val="24"/>
        </w:rPr>
        <w:t xml:space="preserve"> </w:t>
      </w:r>
      <w:proofErr w:type="spellStart"/>
      <w:r w:rsidRPr="00817999">
        <w:rPr>
          <w:rFonts w:ascii="Times New Roman" w:hAnsi="Times New Roman" w:cs="Times New Roman"/>
          <w:sz w:val="24"/>
          <w:szCs w:val="24"/>
        </w:rPr>
        <w:t>Vagner</w:t>
      </w:r>
      <w:proofErr w:type="spellEnd"/>
      <w:r w:rsidRPr="00817999">
        <w:rPr>
          <w:rFonts w:ascii="Times New Roman" w:hAnsi="Times New Roman" w:cs="Times New Roman"/>
          <w:sz w:val="24"/>
          <w:szCs w:val="24"/>
        </w:rPr>
        <w:t xml:space="preserve"> Popović, </w:t>
      </w:r>
      <w:proofErr w:type="spellStart"/>
      <w:r w:rsidRPr="00817999">
        <w:rPr>
          <w:rFonts w:ascii="Times New Roman" w:hAnsi="Times New Roman" w:cs="Times New Roman"/>
          <w:sz w:val="24"/>
          <w:szCs w:val="24"/>
        </w:rPr>
        <w:t>v.r</w:t>
      </w:r>
      <w:proofErr w:type="spellEnd"/>
      <w:r w:rsidRPr="00817999">
        <w:rPr>
          <w:rFonts w:ascii="Times New Roman" w:hAnsi="Times New Roman" w:cs="Times New Roman"/>
          <w:sz w:val="24"/>
          <w:szCs w:val="24"/>
        </w:rPr>
        <w:t>.</w:t>
      </w:r>
    </w:p>
    <w:p w:rsidR="00A04150" w:rsidRPr="00817999" w:rsidRDefault="00A04150" w:rsidP="00A04150">
      <w:pPr>
        <w:spacing w:after="0" w:line="240" w:lineRule="auto"/>
        <w:rPr>
          <w:rFonts w:ascii="Times New Roman" w:eastAsia="Times New Roman" w:hAnsi="Times New Roman" w:cs="Times New Roman"/>
          <w:color w:val="000000"/>
          <w:sz w:val="24"/>
          <w:szCs w:val="24"/>
          <w:lang w:eastAsia="hr-HR"/>
        </w:rPr>
      </w:pPr>
      <w:r w:rsidRPr="00817999">
        <w:rPr>
          <w:rFonts w:ascii="Times New Roman" w:eastAsia="Times New Roman" w:hAnsi="Times New Roman" w:cs="Times New Roman"/>
          <w:color w:val="000000"/>
          <w:sz w:val="24"/>
          <w:szCs w:val="24"/>
          <w:lang w:eastAsia="hr-HR"/>
        </w:rPr>
        <w:t> </w:t>
      </w:r>
    </w:p>
    <w:p w:rsidR="007C2868" w:rsidRPr="00817999" w:rsidRDefault="007C2868" w:rsidP="0014198B">
      <w:pPr>
        <w:spacing w:after="0" w:line="240" w:lineRule="auto"/>
        <w:jc w:val="center"/>
        <w:rPr>
          <w:rFonts w:ascii="Times New Roman" w:eastAsia="Times New Roman" w:hAnsi="Times New Roman" w:cs="Times New Roman"/>
          <w:color w:val="000000"/>
          <w:sz w:val="24"/>
          <w:szCs w:val="24"/>
          <w:lang w:eastAsia="hr-HR"/>
        </w:rPr>
      </w:pPr>
    </w:p>
    <w:sectPr w:rsidR="007C2868" w:rsidRPr="00817999"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916E8" w:rsidRPr="00DE7338">
      <w:rPr>
        <w:rFonts w:ascii="Times New Roman" w:hAnsi="Times New Roman"/>
      </w:rPr>
      <w:fldChar w:fldCharType="begin"/>
    </w:r>
    <w:r w:rsidRPr="00DE7338">
      <w:rPr>
        <w:rFonts w:ascii="Times New Roman" w:hAnsi="Times New Roman"/>
      </w:rPr>
      <w:instrText xml:space="preserve"> PAGE  \* MERGEFORMAT </w:instrText>
    </w:r>
    <w:r w:rsidR="00E916E8" w:rsidRPr="00DE7338">
      <w:rPr>
        <w:rFonts w:ascii="Times New Roman" w:hAnsi="Times New Roman"/>
      </w:rPr>
      <w:fldChar w:fldCharType="separate"/>
    </w:r>
    <w:r w:rsidR="00CF4AC8">
      <w:rPr>
        <w:rFonts w:ascii="Times New Roman" w:hAnsi="Times New Roman"/>
        <w:noProof/>
      </w:rPr>
      <w:t>3</w:t>
    </w:r>
    <w:r w:rsidR="00E916E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E1B1A">
      <w:rPr>
        <w:color w:val="000000"/>
      </w:rPr>
      <w:t>170</w:t>
    </w:r>
    <w:r w:rsidR="00671C41">
      <w:rPr>
        <w:color w:val="000000"/>
      </w:rPr>
      <w:t>/1</w:t>
    </w:r>
    <w:r w:rsidR="00CE1B1A">
      <w:rPr>
        <w:color w:val="000000"/>
      </w:rPr>
      <w:t>9</w:t>
    </w:r>
    <w:r w:rsidR="00B759C4">
      <w:rPr>
        <w:color w:val="000000"/>
      </w:rPr>
      <w:t>-</w:t>
    </w:r>
    <w:r w:rsidR="00CE1B1A">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1799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E1B1A"/>
    <w:rsid w:val="00CF2EC1"/>
    <w:rsid w:val="00CF4AC8"/>
    <w:rsid w:val="00D007F4"/>
    <w:rsid w:val="00D12119"/>
    <w:rsid w:val="00D37878"/>
    <w:rsid w:val="00D64A29"/>
    <w:rsid w:val="00DA75C4"/>
    <w:rsid w:val="00DD5A07"/>
    <w:rsid w:val="00DF1945"/>
    <w:rsid w:val="00E004BC"/>
    <w:rsid w:val="00E17410"/>
    <w:rsid w:val="00E85B3D"/>
    <w:rsid w:val="00E9134A"/>
    <w:rsid w:val="00E916E8"/>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Headerorfooter">
    <w:name w:val="Header or footer_"/>
    <w:basedOn w:val="Zadanifontodlomka"/>
    <w:rsid w:val="00CE1B1A"/>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CE1B1A"/>
    <w:rPr>
      <w:color w:val="000000"/>
      <w:spacing w:val="0"/>
      <w:w w:val="100"/>
      <w:position w:val="0"/>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2019-06-05T08:23:00Z</dcterms:created>
  <dcterms:modified xsi:type="dcterms:W3CDTF">2019-06-05T08:23:00Z</dcterms:modified>
</cp:coreProperties>
</file>