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252E9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52E94" w:rsidRDefault="00EA79E3"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252E94">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252E94">
        <w:rPr>
          <w:rFonts w:ascii="Times New Roman" w:eastAsia="Times New Roman" w:hAnsi="Times New Roman" w:cs="Times New Roman"/>
          <w:sz w:val="24"/>
          <w:szCs w:val="24"/>
        </w:rPr>
        <w:t xml:space="preserve">Poslovni broj: </w:t>
      </w:r>
      <w:r w:rsidR="00B759C4" w:rsidRPr="00252E94">
        <w:rPr>
          <w:rFonts w:ascii="Times New Roman" w:eastAsia="Times New Roman" w:hAnsi="Times New Roman" w:cs="Times New Roman"/>
          <w:sz w:val="24"/>
          <w:szCs w:val="24"/>
        </w:rPr>
        <w:t>UsII-</w:t>
      </w:r>
      <w:r w:rsidR="006B222A" w:rsidRPr="00252E94">
        <w:rPr>
          <w:rFonts w:ascii="Times New Roman" w:eastAsia="Times New Roman" w:hAnsi="Times New Roman" w:cs="Times New Roman"/>
          <w:sz w:val="24"/>
          <w:szCs w:val="24"/>
        </w:rPr>
        <w:t>39</w:t>
      </w:r>
      <w:r w:rsidR="00B759C4" w:rsidRPr="00252E94">
        <w:rPr>
          <w:rFonts w:ascii="Times New Roman" w:eastAsia="Times New Roman" w:hAnsi="Times New Roman" w:cs="Times New Roman"/>
          <w:sz w:val="24"/>
          <w:szCs w:val="24"/>
        </w:rPr>
        <w:t>/</w:t>
      </w:r>
      <w:r w:rsidR="0031791D" w:rsidRPr="00252E94">
        <w:rPr>
          <w:rFonts w:ascii="Times New Roman" w:eastAsia="Times New Roman" w:hAnsi="Times New Roman" w:cs="Times New Roman"/>
          <w:sz w:val="24"/>
          <w:szCs w:val="24"/>
        </w:rPr>
        <w:t>18-</w:t>
      </w:r>
      <w:r w:rsidR="006B222A" w:rsidRPr="00252E94">
        <w:rPr>
          <w:rFonts w:ascii="Times New Roman" w:eastAsia="Times New Roman" w:hAnsi="Times New Roman" w:cs="Times New Roman"/>
          <w:sz w:val="24"/>
          <w:szCs w:val="24"/>
        </w:rPr>
        <w:t>7</w:t>
      </w:r>
    </w:p>
    <w:p w:rsidR="00ED5275" w:rsidRPr="00252E9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52E9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52E9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52E9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252E94"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252E94" w:rsidRPr="00252E94" w:rsidRDefault="00252E94" w:rsidP="00252E94">
      <w:pPr>
        <w:spacing w:after="0" w:line="240" w:lineRule="auto"/>
        <w:jc w:val="center"/>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U  I M E   R E P U B L I K E   H R V A T S K E</w:t>
      </w:r>
    </w:p>
    <w:p w:rsidR="00252E94" w:rsidRPr="00252E94" w:rsidRDefault="00252E94" w:rsidP="00252E94">
      <w:pPr>
        <w:spacing w:after="0" w:line="240" w:lineRule="auto"/>
        <w:jc w:val="left"/>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 </w:t>
      </w:r>
    </w:p>
    <w:p w:rsidR="00252E94" w:rsidRPr="00252E94" w:rsidRDefault="00252E94" w:rsidP="00252E94">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252E94">
        <w:rPr>
          <w:rFonts w:ascii="Times New Roman" w:eastAsia="Times New Roman" w:hAnsi="Times New Roman" w:cs="Times New Roman"/>
          <w:color w:val="000000"/>
          <w:sz w:val="24"/>
          <w:szCs w:val="24"/>
          <w:lang w:eastAsia="hr-HR"/>
        </w:rPr>
        <w:t>P R E S U D A</w:t>
      </w:r>
    </w:p>
    <w:p w:rsidR="00252E94" w:rsidRPr="00252E94" w:rsidRDefault="00252E94" w:rsidP="00252E94">
      <w:pPr>
        <w:spacing w:after="0" w:line="240" w:lineRule="auto"/>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 </w:t>
      </w:r>
    </w:p>
    <w:p w:rsidR="00252E94" w:rsidRPr="00252E94" w:rsidRDefault="00252E94" w:rsidP="00252E94">
      <w:pPr>
        <w:spacing w:after="0" w:line="240" w:lineRule="auto"/>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 xml:space="preserve">            Visoki upravni sud Republike Hrvatske u vijeću sastavljenom od sudaca toga suda Ane Berlengi Fellner, predsjednice vijeća, Mirjane Čačić i Senke Orlić Zaninović, članica vijeća, te više sudske savjetnice Ljerke Morović Pavić, zapisničarke, u upravnom sporu tužitelja </w:t>
      </w:r>
      <w:r>
        <w:rPr>
          <w:rFonts w:ascii="Times New Roman" w:eastAsia="Times New Roman" w:hAnsi="Times New Roman" w:cs="Times New Roman"/>
          <w:color w:val="000000"/>
          <w:sz w:val="24"/>
          <w:szCs w:val="24"/>
          <w:lang w:eastAsia="hr-HR"/>
        </w:rPr>
        <w:t>......... iz Zagreba</w:t>
      </w:r>
      <w:r w:rsidRPr="00252E94">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u Zagrebu</w:t>
      </w:r>
      <w:r w:rsidRPr="00252E94">
        <w:rPr>
          <w:rFonts w:ascii="Times New Roman" w:eastAsia="Times New Roman" w:hAnsi="Times New Roman" w:cs="Times New Roman"/>
          <w:color w:val="000000"/>
          <w:sz w:val="24"/>
          <w:szCs w:val="24"/>
          <w:lang w:eastAsia="hr-HR"/>
        </w:rPr>
        <w:t>, protiv tuženika</w:t>
      </w:r>
      <w:r>
        <w:rPr>
          <w:rFonts w:ascii="Times New Roman" w:eastAsia="Times New Roman" w:hAnsi="Times New Roman" w:cs="Times New Roman"/>
          <w:color w:val="000000"/>
          <w:sz w:val="24"/>
          <w:szCs w:val="24"/>
          <w:lang w:eastAsia="hr-HR"/>
        </w:rPr>
        <w:t xml:space="preserve"> Povjerenika za informiranje, Zagreb</w:t>
      </w:r>
      <w:r w:rsidRPr="00252E94">
        <w:rPr>
          <w:rFonts w:ascii="Times New Roman" w:eastAsia="Times New Roman" w:hAnsi="Times New Roman" w:cs="Times New Roman"/>
          <w:color w:val="000000"/>
          <w:sz w:val="24"/>
          <w:szCs w:val="24"/>
          <w:lang w:eastAsia="hr-HR"/>
        </w:rPr>
        <w:t>, u predmetu radi prava na pristup informacijama, na sjednici vijeća održanoj 12. rujna 2018.</w:t>
      </w:r>
    </w:p>
    <w:p w:rsidR="00252E94" w:rsidRPr="00252E94" w:rsidRDefault="00252E94" w:rsidP="00252E94">
      <w:pPr>
        <w:spacing w:after="0" w:line="240" w:lineRule="auto"/>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 </w:t>
      </w:r>
    </w:p>
    <w:p w:rsidR="00252E94" w:rsidRPr="00252E94" w:rsidRDefault="00252E94" w:rsidP="00252E94">
      <w:pPr>
        <w:spacing w:after="0" w:line="240" w:lineRule="auto"/>
        <w:jc w:val="center"/>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 p r e s u d i o  j e</w:t>
      </w:r>
    </w:p>
    <w:p w:rsidR="00252E94" w:rsidRPr="00252E94" w:rsidRDefault="00252E94" w:rsidP="00252E94">
      <w:pPr>
        <w:spacing w:after="0" w:line="240" w:lineRule="auto"/>
        <w:jc w:val="left"/>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 </w:t>
      </w:r>
    </w:p>
    <w:p w:rsidR="00252E94" w:rsidRPr="00252E94" w:rsidRDefault="00252E94" w:rsidP="00252E94">
      <w:pPr>
        <w:spacing w:after="0" w:line="240" w:lineRule="auto"/>
        <w:ind w:left="720" w:firstLine="720"/>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I.Odbija se tužbeni zahtjev za poništenje rješenja Povjerenika za informiranje klasa: UP/II-008-07-18-01/202, urbroj: 401-01/05-18-2 od 29. svibnja 2018.</w:t>
      </w:r>
    </w:p>
    <w:p w:rsidR="00252E94" w:rsidRPr="00252E94" w:rsidRDefault="00252E94" w:rsidP="00252E94">
      <w:pPr>
        <w:spacing w:after="0" w:line="240" w:lineRule="auto"/>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                        II. Odbija se zahtjev za naknadu troškova upravnog spora.</w:t>
      </w:r>
    </w:p>
    <w:p w:rsidR="00252E94" w:rsidRPr="00252E94" w:rsidRDefault="00252E94" w:rsidP="00252E94">
      <w:pPr>
        <w:spacing w:after="0" w:line="240" w:lineRule="auto"/>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 </w:t>
      </w:r>
    </w:p>
    <w:p w:rsidR="00252E94" w:rsidRPr="00252E94" w:rsidRDefault="00252E94" w:rsidP="00252E94">
      <w:pPr>
        <w:spacing w:after="0" w:line="240" w:lineRule="auto"/>
        <w:jc w:val="center"/>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Obrazloženje</w:t>
      </w:r>
    </w:p>
    <w:p w:rsidR="00252E94" w:rsidRPr="00252E94" w:rsidRDefault="00252E94" w:rsidP="00252E94">
      <w:pPr>
        <w:spacing w:after="0" w:line="240" w:lineRule="auto"/>
        <w:ind w:firstLine="720"/>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 </w:t>
      </w:r>
    </w:p>
    <w:p w:rsidR="00252E94" w:rsidRPr="00252E94" w:rsidRDefault="00252E94" w:rsidP="00252E94">
      <w:pPr>
        <w:spacing w:after="0" w:line="240" w:lineRule="auto"/>
        <w:ind w:firstLine="720"/>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Rješenjem tuženika odbijena je žalba tužitelja izjavljena protiv rješenja Županijskog državnog odvjetništva u Zadru, broj: PPI-DO-23/2017-18 od 28. veljače 2018., kojim je odbijen zahtjev tužitelja za dostavu preslike ili skeniranog izvješća koje je to Županijsko državno odvjetništvo dostavilo višem državnom odvjetništvu za siječanj 2015.</w:t>
      </w:r>
    </w:p>
    <w:p w:rsidR="00252E94" w:rsidRPr="00252E94" w:rsidRDefault="00252E94" w:rsidP="00252E94">
      <w:pPr>
        <w:spacing w:after="0" w:line="240" w:lineRule="auto"/>
        <w:ind w:firstLine="720"/>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 xml:space="preserve">Tužitelj u tužbi u bitnom navodi da ga prvostupanjsko tijelo, a niti tuženik nisu  upoznali sa sadržajem pribavljenog mišljenja Ureda vijeća za nacionalnu sigurnost, sa sadržajem Opće upute o mjesečnom praćenju rada i izvješćivanju u predmetima broj: O-6/10 od 15. prosinca 2010., da je formiralo radnu skupinu radi provođenja testa razmjernosti i javnog interesa, te o odlučnim činjenicama koje je utvrdilo prilikom provođenja testa razmjernosti i javnog interesa. Smatra da je kao podnositelj zahtjeva – stranka u postupku imao pravo sudjelovati u ispitnom postupku sve do donošenja odluke o upravnoj stvari, davati izjave i objašnjenja, iznositi činjenice i okolnosti koje su bitne za rješavanje upravne stvari, te pobijati točnost navoda koji se ne slažu sa njegovim navodima, a službena osoba dužna je omogućiti mu izjašnjavanje o svim okolnostima i činjenicama koje su iznesene u ispitnom postupku, o prijedlozima za izvođenje dokaza i podnesenim dokazima, sudjelovanje u izvođenju dokaza, kao i upoznavanju s rezultatima izvođenja dokaza i izjašnjavanje o tim rezultatima. Stoga ukazuje sudu na izrazitu paušalnost i nerazumljivost obrazloženja rješenja tuženika. Pogrešno je primijenjeno materijalno pravo prilikom donošenja rješenja tuženika jer prema članku 36. stavku 3. točci 7. i 8. Zakona o državnom odvjetništvu u radu državnog odvjetništva smatraju se tajnima podaci iz evidencija državnih odvjetnika i zamjenika državnih odvjetnika, ocjene obnašanja državnoodvjetničke dužnosti, a prema članku 36. stavku 4. istog Zakona poslovnikom državnog odvjetništva utvrđuju se stupnjevi tajnosti </w:t>
      </w:r>
      <w:r w:rsidRPr="00252E94">
        <w:rPr>
          <w:rFonts w:ascii="Times New Roman" w:eastAsia="Times New Roman" w:hAnsi="Times New Roman" w:cs="Times New Roman"/>
          <w:color w:val="000000"/>
          <w:sz w:val="24"/>
          <w:szCs w:val="24"/>
          <w:lang w:eastAsia="hr-HR"/>
        </w:rPr>
        <w:lastRenderedPageBreak/>
        <w:t>podataka koji su označeni kao tajni, postupak klasifikacije i deklasifikacije, pristup podacima, njihova zaštita i nadzor. Člankom 66. Poslovnikom državnog odvjetništva određeno je da stupnjem tajnosti „ograničeno“ klasificiraju se podaci državnih odvjetništava kako to detaljno navodi tužitelj u tužbi. Stoga je nerazumljivo obrazloženje rješenja tuženika da bi djelomično pružanje informacije kroz treći dio koji sadrži razne statističke podatke za kazneni i građanski odjel, naštetilo djelovanju i izvršavanju poslova državnog odvjetništva. Ističe da se tuženik nepotrebno osvrće u obrazloženju pobijanog rješenja na provođenje postupka deklasifikacije prema članku 14. stavku 1. te stavku 2. točci 3. Zakona o tajnosti podataka, obzirom da je nasuprot tome člankom 15. stavkom 2. točkom 1. Zakona o pravu na pristup informacijama, nakon (zakonito) provedenog testa razmjernosti po članku 16. Zakona o pravu na pristup informacijama, moguće djelomično ili u cijelosti omogućiti pristup informacijama koje su klasificirani podatak na način da se ne ugroze zaštićene vrijednosti. Tužitelj predlaže da ovaj Sud djelomično poništi rješenje tuženika i prvostupanjsko rješenje te naloži Županijskom državnom odvjetništvu u Zadru da mu omogući pristup informaciji koja sadrži presliku ili skenirani dio mjesečnog izvješća za siječanj 2015. Tužitelj je zatražio i naknadu troškova upravnog spora u ukupnom iznosu od 5.000,00 kn.</w:t>
      </w:r>
    </w:p>
    <w:p w:rsidR="00252E94" w:rsidRPr="00252E94" w:rsidRDefault="00252E94" w:rsidP="00252E94">
      <w:pPr>
        <w:spacing w:after="0" w:line="240" w:lineRule="auto"/>
        <w:ind w:firstLine="720"/>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 xml:space="preserve">Tuženik je u odgovoru na tužbu u potpunosti ostao kod navoda iz osporenog rješenja i razloga navedenih u obrazloženju osporenog rješenja, te smatra kako nije počinjena povreda načela upravnog postupka iz članka 30., te članka 51. i 52. Zakona o općem upravnom postupku, odnosno kako se u ovom slučaju ne provodi ispitni postupak. Napominje da tijelo javne vlasti prilikom rješavanja zahtjeva za pristup informacijama neposredno primjenjuje odredbe Zakona o pravu na pristup informacijama, odnosno neposredno rješava u posebnom upravnom postupku prava na pristup informacijama pokrenutom na zahtjev stranke. Sudjelovanje stranke u prvostupanjskom i drugostupanjskom postupku ostvarivanja prava na pristup informacijama protivilo bi se načelu učinkovitosti i ekonomičnosti postupka, budući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 Ističe da ostaje kod tvrdnje iz pobijanog drugostupanjskog rješenja u kojem navodi „kako analizom sadržaja u medijima, osim žaliteljevog interesa, nije utvrdilo postojanje javnog interesa za zatraženom informacijom“. Naime, prema saznanjima tuženika, isključivo je tužitelj pokazao interes za predmetnim informacijama, te isključivo tužitelj dostavljao tuženikove drugostupanjske odluke </w:t>
      </w:r>
      <w:r>
        <w:rPr>
          <w:rFonts w:ascii="Times New Roman" w:eastAsia="Times New Roman" w:hAnsi="Times New Roman" w:cs="Times New Roman"/>
          <w:color w:val="000000"/>
          <w:sz w:val="24"/>
          <w:szCs w:val="24"/>
          <w:lang w:eastAsia="hr-HR"/>
        </w:rPr>
        <w:t>Hrvatskoj novinskoj informativnoj agenciji</w:t>
      </w:r>
      <w:r w:rsidRPr="00252E94">
        <w:rPr>
          <w:rFonts w:ascii="Times New Roman" w:eastAsia="Times New Roman" w:hAnsi="Times New Roman" w:cs="Times New Roman"/>
          <w:color w:val="000000"/>
          <w:sz w:val="24"/>
          <w:szCs w:val="24"/>
          <w:lang w:eastAsia="hr-HR"/>
        </w:rPr>
        <w:t xml:space="preserve">, što su mnogi mediji prenosili uz tendenciozne naslove, ne ulazeći u sadržaj predmetnih odluka. Napominje da je tužitelj u zahtjevu koji je podnio ŽDO-u Zadar, ali i u naknadnoj žalbi upućenoj tuženiku zatražio presliku ili skenirano mjesečno izvješće za siječanj 2015. Međutim, tužitelj u tužbi mijenja sadržaj zahtjeva i inzistira isključivo na dobivanju trećeg dijela izvješća, što mijenja percepciju samog podnesenog zahtjeva, ali i naknadno podnesene žalbe, budući da reducira zatraženo na brojčane podatke. Osim toga, vlasnik podataka odlučuje o potpunoj ili djelomičnoj deklasifikaciji zatražene informacije, te je u ovom slučaju vlasnik informacije, uz ispravno proveden postupak, odlučio zadržati stupanj tajnosti „ograničeno“ za sve dijelove zatražene informacije. Nadalje, smatra kako tužitelj griješi kada navodi da je nerazumljivo i paušalno obrazloženje iz pobijanog rješenja te ističe da prvostupanjsko i drugostupanjsko tijelo imaju ovlast preispitivat moguće posljedice omogućavanja pristupa traženoj informaciji pogotovo kada je ona klasificirana stupnjem tajnosti. Tijela javne vlasti su dužna prilikom provedbe testa razmjernosti javnog interesa </w:t>
      </w:r>
      <w:r w:rsidRPr="00252E94">
        <w:rPr>
          <w:rFonts w:ascii="Times New Roman" w:eastAsia="Times New Roman" w:hAnsi="Times New Roman" w:cs="Times New Roman"/>
          <w:color w:val="000000"/>
          <w:sz w:val="24"/>
          <w:szCs w:val="24"/>
          <w:lang w:eastAsia="hr-HR"/>
        </w:rPr>
        <w:lastRenderedPageBreak/>
        <w:t>preispitivati različite varijante i moguće posljedice omogućavanja, odnosno neomogućavanja pristupa zatraženoj informaciji. Ujedno napominje kako je tužitelj tijekom 2017. podnio 40% od svih žalbi te 57% od svih tužbi zaprimljenih u tuženikovom uredu, pa stoga smatra da tužiteljevo angažiranje kapaciteta ureda financiranog od strane poreznih obveznika, a zatim i traženje naknade odvjetničkih troškova, prelazi granicu prihvatljivog i bona fide disponiranja pravom tužitelja do ostvari svoje pravo, već dovodi do onemogućava funkcioniranja pravnog sustava. Predlaže da ovaj Sud odbije tužbu i potvrdi pobijano rješenje.</w:t>
      </w:r>
    </w:p>
    <w:p w:rsidR="00252E94" w:rsidRPr="00252E94" w:rsidRDefault="00252E94" w:rsidP="00252E94">
      <w:pPr>
        <w:spacing w:after="0" w:line="240" w:lineRule="auto"/>
        <w:ind w:firstLine="720"/>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Tužbeni zahtjev nije osnovan.</w:t>
      </w:r>
    </w:p>
    <w:p w:rsidR="00252E94" w:rsidRPr="00252E94" w:rsidRDefault="00252E94" w:rsidP="00252E94">
      <w:pPr>
        <w:spacing w:after="0" w:line="240" w:lineRule="auto"/>
        <w:ind w:firstLine="720"/>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S obzirom da tužitelj osporava samo primjenu prava, a činjenicu nisu sporne, Sud je konkretni spor riješio bez rasprave na temelju odredbe članka 36. točke 4. Zakona o upravnim sporovima.</w:t>
      </w:r>
    </w:p>
    <w:p w:rsidR="00252E94" w:rsidRPr="00252E94" w:rsidRDefault="00252E94" w:rsidP="00252E94">
      <w:pPr>
        <w:spacing w:after="0" w:line="240" w:lineRule="auto"/>
        <w:ind w:firstLine="720"/>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Prema odredbi članka 16. stavka 1. Zakona o pravu na pristup informacijama („Narodne novine“ 25/13. i 85/15.) propisano je da je tijelo javne vlasti nadležno za postupanje po zahtjevu za pristup informaciji iz članka 15. stavka 2. točke 2., 3., 4., 5., 6. i 7. i stavka 3. i 4. Zakona o pravu na pristup informacijama,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252E94" w:rsidRPr="00252E94" w:rsidRDefault="00252E94" w:rsidP="00252E94">
      <w:pPr>
        <w:spacing w:after="0" w:line="240" w:lineRule="auto"/>
        <w:ind w:firstLine="720"/>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Odredbom članka 9. Zakona o tajnosti podataka („Narodne novine“ 79/07. i 86/12.) propisano je kako se stupnjem tajnosti „ograničeno“ klasificiraju podaci čije bi neovlašteno otkrivanje naštetilo djelovanju i izvršavanju zadaća državnih tijela u obavljanju poslova iz članka 5. ovoga Zakona.</w:t>
      </w:r>
    </w:p>
    <w:p w:rsidR="00252E94" w:rsidRPr="00252E94" w:rsidRDefault="00252E94" w:rsidP="00252E94">
      <w:pPr>
        <w:spacing w:after="0" w:line="240" w:lineRule="auto"/>
        <w:ind w:firstLine="720"/>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Člankom 5. Zakona o tajnosti podataka propisano je da s obzirom na stupanj ugroze zaštićenih vrijednosti stupnjevima tajnosti iz članka 4. ovoga Zakona mogu se klasificirati podaci iz djelokruga državnih tijela u području obrane, sigurnosno obavještajnog sustava, vanjskih poslova, javne sigurnosti, kaznenog postupka, te znanosti, tehnologije, javnih financija i gospodarstva ukoliko su podaci od sigurnosnog interesa za Republiku Hrvatsku.</w:t>
      </w:r>
    </w:p>
    <w:p w:rsidR="00252E94" w:rsidRPr="00252E94" w:rsidRDefault="00252E94" w:rsidP="00252E94">
      <w:pPr>
        <w:spacing w:after="0" w:line="240" w:lineRule="auto"/>
        <w:ind w:firstLine="720"/>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Prema odredbi članka 16. stavka 1. Zakona o tajnosti podataka propisano je da kad postoji interes javnosti, vlasnik podatka dužan je ocijeniti razmjernost između prava na pristup informacijama i zaštite vrijednosti propisanih u člancima 6., 7., 8. i 9. ovoga Zakona, te odlučiti o zadržavanju stupnja tajnosti, promjeni stupnja tajnosti, deklasifikaciji ili oslobađanju od obveze čuvanja tajnosti podataka, dok je stavkom 2. istog članka Zakona propisano kako je prije donošenja odluke iz stavka 1. ovoga članka vlasnik podatka dužan zatražiti mišljenje Ureda vijeća za nacionalnu sigurnost, dok je stavkom 3. istog članka Zakona propisano kako je vlasnik podatka dužan o postupku iz stavka 1. ovoga članka izvijestiti i druga nadležna tijela propisana Zakonom.</w:t>
      </w:r>
    </w:p>
    <w:p w:rsidR="00252E94" w:rsidRPr="00252E94" w:rsidRDefault="00252E94" w:rsidP="00252E94">
      <w:pPr>
        <w:spacing w:after="0" w:line="240" w:lineRule="auto"/>
        <w:ind w:firstLine="720"/>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 xml:space="preserve">Iz podataka u spisu predmeta proizlazi da je tužitelj zahtjevom za pristup informacijama od 31. kolovoza 2017. zatražio presliku ili skenirano mjesečno izvješće za siječanj 2015. godine, zahtjev je tijelo javne vlasti odbilo na temelju odredbe članka 23. stavka 5. točke 2. u vezi s člankom 15. stavkom 2. točkom 1. Zakona o pravu na pristup informacijama, iz razloga jer je informacija klasificirana stupnjem tajnosti „ograničeno“. Tuženik je u okviru žalbenog postupka izvršio uvid u mišljenje Ureda vijeća za nacionalnu sigurnost od 5. veljače 2018. koje je dano sukladno članku 16. stavku 1. Zakona o pravu na pristup informacijama, iz kojeg proizlazi da Vijeće smatra da je dokumentacija koja je predmet postupka klasificirana stupnjem tajnosti „ograničeno“, pa je mišljenja da s obzirom na vrstu i specifičnost poslova koje provodi pojedino državno odvjetništvo te osjetljivost istih podataka, takvoj vrsti odnosno skupu podataka sadržanih u mjesečnom izvješću pojedinog </w:t>
      </w:r>
      <w:r w:rsidRPr="00252E94">
        <w:rPr>
          <w:rFonts w:ascii="Times New Roman" w:eastAsia="Times New Roman" w:hAnsi="Times New Roman" w:cs="Times New Roman"/>
          <w:color w:val="000000"/>
          <w:sz w:val="24"/>
          <w:szCs w:val="24"/>
          <w:lang w:eastAsia="hr-HR"/>
        </w:rPr>
        <w:lastRenderedPageBreak/>
        <w:t>državnog odvjetništva, potrebno utvrditi i zadržati utvrđeni stupanj tajnosti, s obzirom da bi njihovo otkrivanje moglo našteti djelovanju i izvršavanju zadaća državnih tijela u obavljanju poslova iz članka 5. Zakona o tajnosti podataka.</w:t>
      </w:r>
    </w:p>
    <w:p w:rsidR="00252E94" w:rsidRPr="00252E94" w:rsidRDefault="00252E94" w:rsidP="00252E94">
      <w:pPr>
        <w:spacing w:after="0" w:line="240" w:lineRule="auto"/>
        <w:ind w:firstLine="720"/>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Dakle, iz navedenog proizlazi da sukladno odredbi članka 16. stavka 1. Zakona o tajnosti podataka isključivo vlasnik klasificiranih podataka ima ovlast odlučiti o zadržavanju stupnja tajnosti, promjenu stupnja tajnosti, deklasifikaciji ili oslobađanju od obveze čuvanja tajnosti podataka. Prema ocjeni Suda Županijsko državno odvjetništvo u Zadru je nakon dobivenog mišljenja Ureda vijeća za nacionalnu sigurnost i provedenog testa razmjernosti i javnog interesa pravilno odbilo zahtjev tužitelja za pristup informacijama i zadržalo stupanj tajnosti „ograničeno“, jer smatra da su prevladali razlozi za ograničenjem.</w:t>
      </w:r>
    </w:p>
    <w:p w:rsidR="00252E94" w:rsidRPr="00252E94" w:rsidRDefault="00252E94" w:rsidP="00252E94">
      <w:pPr>
        <w:spacing w:after="0" w:line="240" w:lineRule="auto"/>
        <w:ind w:firstLine="720"/>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Imajući na umu navedeno, prema ocjeni ovoga Suda tuženik pravilno smatra da je u konkretnom slučaju odlučan razlog zaštite učinkovitosti integriteta rada državnog odvjetništva što preteže nad mogućnošću kontrole nad radom tijela javne vlasti od strane javnosti, koja je inače u javnom interesu, ali u ovom slučaju, predmetna informacija ne daje potpunu sliku i informaciju o radu pojedinog državnog odvjetništva, dok bi se istovremeno omogućavanjem pristupa informaciji stvorila mogućnost da ista bude korištena u nedozvoljene svrhe, a kako to pravilno smatra i tuženik. Osim navedenog, treba istaknuti da je tuženik pravilno obrazložio nepostojanje javnog interesa za zatraženom informacijom navodeći da se predmetna informacija ne odnosi na pitanja koja su u društvu smatrana pitanjima od javnog interesa te da osim interesa tužitelja za predmetnu informaciju ne postoji javni interes.</w:t>
      </w:r>
    </w:p>
    <w:p w:rsidR="00252E94" w:rsidRPr="00252E94" w:rsidRDefault="00252E94" w:rsidP="00252E94">
      <w:pPr>
        <w:spacing w:after="0" w:line="240" w:lineRule="auto"/>
        <w:ind w:firstLine="720"/>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S obzirom na citirane zakonske odredbe na kojima se temelji osporena odluka tuženika, kao i činjenično stanje utvrđeno u postupku, ovaj Sud nalazi da je tuženik pravilno postupio kada je odbio žalbu tužitelja protiv rješenja Županijskog državnog odvjetništva u Zadru kojim je odbijen zahtjev tužitelja za pravo na pristup informacijama jer se radi o informaciji koja je klasificirana stupnjem tajnosti „ograničeno“, te je tuženik za takvu svoju odluku dao jasno i valjano obrazloženje, koje u cijelosti prihvaća i ovaj Sud.</w:t>
      </w:r>
    </w:p>
    <w:p w:rsidR="00252E94" w:rsidRPr="00252E94" w:rsidRDefault="00252E94" w:rsidP="00252E94">
      <w:pPr>
        <w:spacing w:after="0" w:line="240" w:lineRule="auto"/>
        <w:ind w:firstLine="720"/>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Prigovor tužitelja da je počinjena bitna povreda načela upravnog postupka jer je trebalo provesti ispitni postupak nije osnovan, jer Zakon o pravu na pristup informacijama, koji regulira poseban upravni postupak ostvarivanja prava na pristup informacijama, je jednostranački postupak, koji omogućava neposredno rješavanje upravne stvari, a to znači da se odluka može donijeti bez omogućavanja stranci da bude saslušana, bez zakazivanja i održavanja usmene rasprave i bez izvođenja dokaza putem posebnih dokaznih sredstava.</w:t>
      </w:r>
    </w:p>
    <w:p w:rsidR="00252E94" w:rsidRPr="00252E94" w:rsidRDefault="00252E94" w:rsidP="00252E94">
      <w:pPr>
        <w:spacing w:after="0" w:line="240" w:lineRule="auto"/>
        <w:ind w:firstLine="720"/>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S obzirom da prigovori tužitelja u tužbi nisu odlučni niti su od utjecaja na zakonitost osporenog rješenja, te da ovaj Sud nije našao osnove za djelomično poništenje pobijanog rješenja kako je to zatražio tužitelj, trebalo je odlučiti kao u dispozitivu presude pozivom na odredbu članka 57. stavka 1. Zakona o upravnim sporovima.</w:t>
      </w:r>
    </w:p>
    <w:p w:rsidR="00252E94" w:rsidRPr="00252E94" w:rsidRDefault="00252E94" w:rsidP="00252E94">
      <w:pPr>
        <w:spacing w:after="0" w:line="240" w:lineRule="auto"/>
        <w:ind w:firstLine="720"/>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Odluka o troškovima upravnog spora temelji se na odredbi članka 79. stavka 4. Zakona o upravnim sporovima.</w:t>
      </w:r>
    </w:p>
    <w:p w:rsidR="00252E94" w:rsidRPr="00252E94" w:rsidRDefault="00252E94" w:rsidP="00252E94">
      <w:pPr>
        <w:spacing w:after="0" w:line="240" w:lineRule="auto"/>
        <w:jc w:val="left"/>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 </w:t>
      </w:r>
    </w:p>
    <w:p w:rsidR="00252E94" w:rsidRPr="00252E94" w:rsidRDefault="00252E94" w:rsidP="00252E94">
      <w:pPr>
        <w:spacing w:after="0" w:line="240" w:lineRule="auto"/>
        <w:jc w:val="center"/>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U Zagrebu 12. rujna 2018.</w:t>
      </w:r>
    </w:p>
    <w:p w:rsidR="00252E94" w:rsidRPr="00252E94" w:rsidRDefault="00252E94" w:rsidP="00252E94">
      <w:pPr>
        <w:spacing w:after="0" w:line="240" w:lineRule="auto"/>
        <w:jc w:val="right"/>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                                                                                                      </w:t>
      </w:r>
    </w:p>
    <w:p w:rsidR="00252E94" w:rsidRPr="00252E94" w:rsidRDefault="00252E94" w:rsidP="00252E94">
      <w:pPr>
        <w:spacing w:after="0" w:line="240" w:lineRule="auto"/>
        <w:jc w:val="right"/>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Predsjednica vijeća</w:t>
      </w:r>
    </w:p>
    <w:p w:rsidR="00252E94" w:rsidRPr="00252E94" w:rsidRDefault="00252E94" w:rsidP="00252E94">
      <w:pPr>
        <w:spacing w:after="0" w:line="240" w:lineRule="auto"/>
        <w:ind w:left="6480"/>
        <w:jc w:val="left"/>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  Ana Berlengi Fellner, v.r.</w:t>
      </w:r>
    </w:p>
    <w:p w:rsidR="00252E94" w:rsidRPr="00252E94" w:rsidRDefault="00252E94" w:rsidP="00252E94">
      <w:pPr>
        <w:spacing w:after="0" w:line="240" w:lineRule="auto"/>
        <w:jc w:val="right"/>
        <w:rPr>
          <w:rFonts w:ascii="CG Times" w:eastAsia="Times New Roman" w:hAnsi="CG Times" w:cs="Times New Roman"/>
          <w:color w:val="000000"/>
          <w:sz w:val="24"/>
          <w:szCs w:val="24"/>
          <w:lang w:eastAsia="hr-HR"/>
        </w:rPr>
      </w:pPr>
      <w:r w:rsidRPr="00252E94">
        <w:rPr>
          <w:rFonts w:ascii="Times New Roman" w:eastAsia="Times New Roman" w:hAnsi="Times New Roman" w:cs="Times New Roman"/>
          <w:color w:val="000000"/>
          <w:sz w:val="24"/>
          <w:szCs w:val="24"/>
          <w:lang w:eastAsia="hr-HR"/>
        </w:rPr>
        <w:t> </w:t>
      </w:r>
    </w:p>
    <w:p w:rsidR="007C2868" w:rsidRPr="00252E94" w:rsidRDefault="007C2868" w:rsidP="00252E94">
      <w:pPr>
        <w:spacing w:after="0" w:line="276" w:lineRule="atLeast"/>
        <w:jc w:val="center"/>
        <w:rPr>
          <w:rFonts w:ascii="CG Times" w:eastAsia="Times New Roman" w:hAnsi="CG Times" w:cs="Times New Roman"/>
          <w:color w:val="000000"/>
          <w:sz w:val="24"/>
          <w:szCs w:val="24"/>
          <w:lang w:eastAsia="hr-HR"/>
        </w:rPr>
      </w:pPr>
    </w:p>
    <w:sectPr w:rsidR="007C2868" w:rsidRPr="00252E94"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4D5" w:rsidRDefault="00A324D5" w:rsidP="00ED5275">
      <w:pPr>
        <w:spacing w:after="0" w:line="240" w:lineRule="auto"/>
      </w:pPr>
      <w:r>
        <w:separator/>
      </w:r>
    </w:p>
  </w:endnote>
  <w:endnote w:type="continuationSeparator" w:id="1">
    <w:p w:rsidR="00A324D5" w:rsidRDefault="00A324D5"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4D5" w:rsidRDefault="00A324D5" w:rsidP="00ED5275">
      <w:pPr>
        <w:spacing w:after="0" w:line="240" w:lineRule="auto"/>
      </w:pPr>
      <w:r>
        <w:separator/>
      </w:r>
    </w:p>
  </w:footnote>
  <w:footnote w:type="continuationSeparator" w:id="1">
    <w:p w:rsidR="00A324D5" w:rsidRDefault="00A324D5"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EA79E3" w:rsidRPr="00DE7338">
      <w:rPr>
        <w:rFonts w:ascii="Times New Roman" w:hAnsi="Times New Roman"/>
      </w:rPr>
      <w:fldChar w:fldCharType="begin"/>
    </w:r>
    <w:r w:rsidRPr="00DE7338">
      <w:rPr>
        <w:rFonts w:ascii="Times New Roman" w:hAnsi="Times New Roman"/>
      </w:rPr>
      <w:instrText xml:space="preserve"> PAGE  \* MERGEFORMAT </w:instrText>
    </w:r>
    <w:r w:rsidR="00EA79E3" w:rsidRPr="00DE7338">
      <w:rPr>
        <w:rFonts w:ascii="Times New Roman" w:hAnsi="Times New Roman"/>
      </w:rPr>
      <w:fldChar w:fldCharType="separate"/>
    </w:r>
    <w:r w:rsidR="00252E94">
      <w:rPr>
        <w:rFonts w:ascii="Times New Roman" w:hAnsi="Times New Roman"/>
        <w:noProof/>
      </w:rPr>
      <w:t>4</w:t>
    </w:r>
    <w:r w:rsidR="00EA79E3"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252E94">
      <w:rPr>
        <w:color w:val="000000"/>
      </w:rPr>
      <w:t>250</w:t>
    </w:r>
    <w:r w:rsidR="004043B1">
      <w:rPr>
        <w:color w:val="000000"/>
      </w:rPr>
      <w:t>/</w:t>
    </w:r>
    <w:r w:rsidR="0031791D">
      <w:rPr>
        <w:color w:val="000000"/>
      </w:rPr>
      <w:t>18-</w:t>
    </w:r>
    <w:r w:rsidR="00252E94">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2E94"/>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324D5"/>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A79E3"/>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953824749">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2162</Words>
  <Characters>12329</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2018-11-16T12:25:00Z</dcterms:created>
  <dcterms:modified xsi:type="dcterms:W3CDTF">2018-11-16T12:25:00Z</dcterms:modified>
</cp:coreProperties>
</file>