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21190B" w:rsidRDefault="00ED5275" w:rsidP="003E082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190B" w:rsidRDefault="00DE76D9" w:rsidP="003E082A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21190B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21190B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21190B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B759C4" w:rsidRPr="0021190B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21190B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21190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D5275" w:rsidRPr="0021190B" w:rsidRDefault="00ED5275" w:rsidP="003E082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190B" w:rsidRDefault="00ED5275" w:rsidP="003E082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190B" w:rsidRDefault="00ED5275" w:rsidP="003E082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1190B" w:rsidRDefault="00ED5275" w:rsidP="003E082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21190B" w:rsidRDefault="00B759C4" w:rsidP="003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90B" w:rsidRPr="0021190B" w:rsidRDefault="0021190B" w:rsidP="003E082A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19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21190B" w:rsidRPr="0021190B" w:rsidRDefault="0021190B" w:rsidP="003E082A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19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1190B" w:rsidRPr="0021190B" w:rsidRDefault="0021190B" w:rsidP="003E082A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2119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21190B" w:rsidRPr="0021190B" w:rsidRDefault="0021190B" w:rsidP="003E082A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119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E082A" w:rsidRDefault="003E082A" w:rsidP="003E082A">
      <w:pPr>
        <w:pStyle w:val="Bodytext20"/>
        <w:shd w:val="clear" w:color="auto" w:fill="auto"/>
        <w:spacing w:before="0" w:after="290" w:line="240" w:lineRule="auto"/>
        <w:ind w:left="280" w:firstLine="740"/>
        <w:jc w:val="both"/>
      </w:pPr>
      <w:r>
        <w:rPr>
          <w:color w:val="000000"/>
          <w:sz w:val="24"/>
          <w:szCs w:val="24"/>
          <w:lang w:eastAsia="hr-HR" w:bidi="hr-HR"/>
        </w:rPr>
        <w:t>Visoki upravni sud Republike Hrvatske u vijeću sastavljenom od sudaca toga suda mr. sc. Inge Vezmar Barlek, predsjednice vijeća, Lidije Vukičević i Marine Kosović Marković, članica vijeća, te sudske savjetnice Ivane Mamić Vuković, zapisničarke, u upravnom sporu tužitelja Hrvatske banke za obnovu i razvitak iz Zagreba, protiv tuženika Povjerenika za informiranje Republike Hrvatske, Zagreb, uz sudjelovanje zainteresirane osobe ......... iz Zagreba, radi prava na pristup informacijama, na sjednici vijeća održanoj 9. siječnja 2019.</w:t>
      </w:r>
    </w:p>
    <w:p w:rsidR="003E082A" w:rsidRDefault="003E082A" w:rsidP="003E082A">
      <w:pPr>
        <w:pStyle w:val="Bodytext20"/>
        <w:shd w:val="clear" w:color="auto" w:fill="auto"/>
        <w:spacing w:before="0" w:after="243" w:line="240" w:lineRule="auto"/>
        <w:ind w:right="240"/>
      </w:pPr>
      <w:r>
        <w:rPr>
          <w:color w:val="000000"/>
          <w:sz w:val="24"/>
          <w:szCs w:val="24"/>
          <w:lang w:eastAsia="hr-HR" w:bidi="hr-HR"/>
        </w:rPr>
        <w:t>p r e s u d i o j e</w:t>
      </w:r>
    </w:p>
    <w:p w:rsidR="003E082A" w:rsidRDefault="003E082A" w:rsidP="003E082A">
      <w:pPr>
        <w:pStyle w:val="Bodytext20"/>
        <w:numPr>
          <w:ilvl w:val="0"/>
          <w:numId w:val="1"/>
        </w:numPr>
        <w:shd w:val="clear" w:color="auto" w:fill="auto"/>
        <w:tabs>
          <w:tab w:val="left" w:pos="2030"/>
        </w:tabs>
        <w:spacing w:before="0" w:line="240" w:lineRule="auto"/>
        <w:ind w:left="1020" w:firstLine="720"/>
        <w:jc w:val="both"/>
      </w:pPr>
      <w:r>
        <w:rPr>
          <w:color w:val="000000"/>
          <w:sz w:val="24"/>
          <w:szCs w:val="24"/>
          <w:lang w:eastAsia="hr-HR" w:bidi="hr-HR"/>
        </w:rPr>
        <w:t>Odbija se tužbeni zahtjev za poništavanje točke 1. i 2. rješenja Povjerenika za informiranje Republike Hrvatske, KLASA: UP/II-008-07/18-01/365, URBROJ: 401-01/03-18-3 od 18. rujna 2018.</w:t>
      </w:r>
    </w:p>
    <w:p w:rsidR="003E082A" w:rsidRDefault="003E082A" w:rsidP="003E082A">
      <w:pPr>
        <w:pStyle w:val="Bodytext20"/>
        <w:numPr>
          <w:ilvl w:val="0"/>
          <w:numId w:val="1"/>
        </w:numPr>
        <w:shd w:val="clear" w:color="auto" w:fill="auto"/>
        <w:tabs>
          <w:tab w:val="left" w:pos="2072"/>
        </w:tabs>
        <w:spacing w:before="0" w:after="290" w:line="240" w:lineRule="auto"/>
        <w:ind w:left="1020" w:firstLine="720"/>
        <w:jc w:val="both"/>
      </w:pPr>
      <w:r>
        <w:rPr>
          <w:color w:val="000000"/>
          <w:sz w:val="24"/>
          <w:szCs w:val="24"/>
          <w:lang w:eastAsia="hr-HR" w:bidi="hr-HR"/>
        </w:rPr>
        <w:t>Poništava se točka 3. rješenja Povjerenika za informiranje Republike Hrvatske, KLASA: UP/II-008-07/18-01/365, URBROJ: 401-01/03-18-3 od 18. rujna 2018.</w:t>
      </w:r>
    </w:p>
    <w:p w:rsidR="003E082A" w:rsidRDefault="003E082A" w:rsidP="003E082A">
      <w:pPr>
        <w:pStyle w:val="Bodytext20"/>
        <w:shd w:val="clear" w:color="auto" w:fill="auto"/>
        <w:spacing w:before="0" w:after="243" w:line="240" w:lineRule="auto"/>
        <w:ind w:right="240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left="280" w:firstLine="740"/>
        <w:jc w:val="both"/>
      </w:pPr>
      <w:r>
        <w:rPr>
          <w:color w:val="000000"/>
          <w:sz w:val="24"/>
          <w:szCs w:val="24"/>
          <w:lang w:eastAsia="hr-HR" w:bidi="hr-HR"/>
        </w:rPr>
        <w:t>Osporenim rješenjem tuženik je točkom 1. izreke poništio rješenje tužitelja (dalje: HBOR) broj: 13/2018 od 20. travnja 2018. i točkom 2. izreke zainteresiranoj osobi je odobreno pravo na pristup preslikama popisa svih korisnika kredita koje je HBOR kreditirao u razdoblju od 1. do 28. veljače 2018., uz iznose kredita. Točkom 3. izreke tužitelju je naređeno da u roku od osam dana od primitka osporenog rješenja omogući pristup navedenoj informaciji.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left="280" w:firstLine="740"/>
        <w:jc w:val="both"/>
        <w:sectPr w:rsidR="003E082A">
          <w:headerReference w:type="default" r:id="rId7"/>
          <w:pgSz w:w="11900" w:h="16840"/>
          <w:pgMar w:top="2708" w:right="1383" w:bottom="1479" w:left="1134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eastAsia="hr-HR" w:bidi="hr-HR"/>
        </w:rPr>
        <w:t>Protiv navedenog rješenja tužitelj je podnio tužbu u kojoj navodi da je prvostupanjskim rješenjem zahtjev zainteresirane osobe odbijen na temelju odredbe članka 23. stavka 5. točke 5. Zakona o pravu na pristup informacijama (Narodne novine, broj 25/13. i 85/15., dalje: ZPPI) odnosno zbog zloupotrebe prava na pristup informacijama, što je tuženik prihvatio u svojim ranijim rješenjima. Nabraja sve zahtjeve koje mu je podnijela zainteresirana osoba. Poziva se na odredbe Zakona o Hrvatskoj banci za obnovu i razvitak (Narodne novine, broj 138/06. i 25/13., dalje: ZoHBOR) i Zakona o kreditnim institucijama (Narodne novine, broj 159/13., 19/15. i 102/15., dalje: ZoKI) iz kojih zaključuje da obavlja bankovne poslove pa je u svojem poslovanju obvezan čuvati bankovnu tajnu. U pogledu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jc w:val="both"/>
      </w:pPr>
      <w:r>
        <w:rPr>
          <w:color w:val="000000"/>
          <w:sz w:val="24"/>
          <w:szCs w:val="24"/>
          <w:lang w:eastAsia="hr-HR" w:bidi="hr-HR"/>
        </w:rPr>
        <w:lastRenderedPageBreak/>
        <w:t>korištenja javnih sredstava poziva se na odredbe Zakona o transparentnosti tokova javnih sredstava (Narodne novine, broj 72/13. i 47/14.). Uspoređuje svoje poslovanje s poslovanjem Europske investicijske banke s kojom je u poslovnom odnosu, a koja osigurava zaštitu povjerljivih informacija koje joj daju klijenti. Poziva se na odredbe članka 15. stavka 3. Ugovora o funkcioniranju Europske unije (dalje: UFEU). Smatra pogrešnim shvaćanje tuženika da bi se samo zbog činjenice što se tužitelj (dijelom) financira javnim sredstvima, trebao primijeniti članak 16. stavak 3. ZPPI-a. To upravo zbog ograničenja predviđenih drugim hrvatskim zakonima, ali i propisima Europske unije (dalje: EU) koji ne poznaju automatizam objave podataka, već postoji obveza zaštite bankovne tajne. Predlaže Sudu da prekine ovaj spor i zatraži od Suda EU tumačenje je li odredba članka 16. stavka 3. ZPPI-a usklađena s pravom EU. Također predlaže Sudu da spor prekine do okončanja postupka u povodu zahtjeva za izvanredno preispitivanje zakonitosti pravomoćne presude koji je protiv presude ovoga suda poslovni broj: UsII-101/15-5 od 2. rujna 2015., Državno odvjetništvo Republike Hrvatske podnijelo Vrhovnom sudu Republike Hrvatske (dalje: Vrhovni sud). Zaključno predlaže Sudu da poništi osporeno rješenje.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 xml:space="preserve">Tuženik u odgovoru na tužbu smatra neodlučnim što je u pojedinim slučajevima djelomično uvažio stav tužitelja da zainteresirana osoba zloupotrebljava pravo na pristup informacijama, jer to ovisi o okolnostima konkretnog slučaja. U konkretnom slučaju tražena informacija sastoji se od dvije stranice teksta i može se razmatrati u kontekstu izdvojenom od ostalih žaliteljevih zahtjeva, a značaj tražene informacije za javnost nadilazi u ovom slučaju moguću zloupotrebu prava. U ovoj upravnoj stvari mjerodavne su odredbe ZPPI-a (koji je organski zakon) te se ZoHBOR-u i ZoKI ne mogu uzeti kao </w:t>
      </w:r>
      <w:r>
        <w:rPr>
          <w:rStyle w:val="Bodytext2Italic"/>
          <w:lang w:val="en-US" w:bidi="en-US"/>
        </w:rPr>
        <w:t xml:space="preserve">lex </w:t>
      </w:r>
      <w:r>
        <w:rPr>
          <w:rStyle w:val="Bodytext2Italic"/>
        </w:rPr>
        <w:t>specialis,</w:t>
      </w:r>
      <w:r>
        <w:rPr>
          <w:color w:val="000000"/>
          <w:sz w:val="24"/>
          <w:szCs w:val="24"/>
          <w:lang w:eastAsia="hr-HR" w:bidi="hr-HR"/>
        </w:rPr>
        <w:t xml:space="preserve"> s obzirom da bi se pravno načelo </w:t>
      </w:r>
      <w:r>
        <w:rPr>
          <w:rStyle w:val="Bodytext2Italic"/>
          <w:lang w:val="en-US" w:bidi="en-US"/>
        </w:rPr>
        <w:t xml:space="preserve">lex </w:t>
      </w:r>
      <w:r>
        <w:rPr>
          <w:rStyle w:val="Bodytext2Italic"/>
        </w:rPr>
        <w:t>specialis derogat legi generali</w:t>
      </w:r>
      <w:r>
        <w:rPr>
          <w:color w:val="000000"/>
          <w:sz w:val="24"/>
          <w:szCs w:val="24"/>
          <w:lang w:eastAsia="hr-HR" w:bidi="hr-HR"/>
        </w:rPr>
        <w:t xml:space="preserve"> moglo primijeniti jedino kada u materijalnopravnim odredbama ZPPI-a ne bi postojalo izuzeće u odnosu na bankovnu tajnu. Prema odredbi članka 16. stavka 3. ZPPI-a informacija o raspolaganju javnim sredstvima mora biti dostupna javnosti i bez provođenja testa razmjernosti i javnog interesa. Smatra kako ne postoji nikakva sumnja da tužitelj raspolaže javnim sredstvima te nalazi nepotrebnim pozivanje tužitelja na propise EU, jer je ZPPI u nadležnosti država članica te se njime razrađuje ustavno pravo građana. Smatra neosnovanim prijedlog tužitelja za postavljanje prethodnog pitanja Sudu EU, jer je ZPPI usklađen s Uredbom 1049/2001 Europskog parlamenta i Vijeća od 30. svibnja 2001. o javnom pristupu dokumentima Europskog parlamenta, Vijeća i Komisije (SL L 145 31.5.2001., dalje: Uredba) te uređuje pitanje pristupa informacijama koje posjeduju tijela javne vlasti u Republici Hrvatskoj. Ističe da Vrhovni sud još nije odlučio o podnesenom zahtjevu za preispitivanje zakonitosti pravomoćne presude. Predlaže Sudu da tužbeni zahtjev kao neosnovan odbije.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Zainteresirana osoba se u odgovoru na tužbu poziva na odredbu članka 16. stavka 3. ZPPI-a te na presudu ovog suda poslovni broj: UsII-281/17 od 30. studenoga 2017. u kojoj je izraženo stajalište da podaci o raspolaganju javnim sredstvima moraju biti automatski dostupni svakome te da u takvim slučajevima ne postoji mogućnost zloupotrebe prava na pristup informacijama. Smatra da se u ovoj stvari ne primjenjuju Ugovor o Europskoj uniji i UFEU. jer tužitelj nije tijelo EU. Poziva se na dopis Vlade Republike Hrvatske od 19. travnja 2018. prema kojem su informacije o raspolaganju javnim sredstvima dostupne javnosti i bez provođenja testa razmjernosti i javnog interesa, osim ako informacija predstavlja klasificirani podatak.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Tužitelj nije dostavio očitovanje na navode odgovora na tužbu na što je uredno pozvan je u skladu s odredbom članka 6. Zakona o upravnim sporovima (Narodne novine, broj 20/10., 143/12., 152/14., 94/16. - odluka Ustavnog suda RH i 29/17., dalje: ZUS).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Na temelju razmatranja svih činjeničnih i pravnih pitanja (članak 55. stavak 3. ZUS-</w:t>
      </w:r>
      <w:r w:rsidR="00A03062">
        <w:rPr>
          <w:color w:val="000000"/>
          <w:sz w:val="24"/>
          <w:szCs w:val="24"/>
          <w:lang w:eastAsia="hr-HR" w:bidi="hr-HR"/>
        </w:rPr>
        <w:t xml:space="preserve">a </w:t>
      </w:r>
      <w:r>
        <w:rPr>
          <w:color w:val="000000"/>
          <w:sz w:val="24"/>
          <w:szCs w:val="24"/>
          <w:lang w:eastAsia="hr-HR" w:bidi="hr-HR"/>
        </w:rPr>
        <w:lastRenderedPageBreak/>
        <w:t>Sud tužbeni zahtjev ocjenjuje djelomično osnovanim.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Prije svega, Sud ocjenjuje pravilnim utvrđenje tuženika da tužitelj raspolaže javnim sredstvima, jer to proizlazi iz odredbe članka 5. stavka 2. ZoHBOR prema kojoj temeljni kapital HBOR-a uplaćuje Republika Hrvatska iz državnog proračuna, a sukladno odredbi članka 8. stavka 2. ZoHBOR, Republika Hrvatska jamči za obveze HBOR-a bezuvjetno, neopozivo i na prvi poziv te bez izdavanja posebne jamstvene isprave. Stoga u konkretnom slučaju dolazi do primjene odredba članka 16. stavka 3. ZPPI-a, prema kojoj su informacije o raspolaganju javnim sredstvima dostupne javnosti i bez provođenja testa razmjernosti i javnog interesa, osim ako informacija predstavlja klasificirani podatak. U konkretnom slučaju stranke ne navode da bi se radilo o informacijama koje predstavljaju klasificirani podatak, što znači da tražene informacije trebaju biti dostupne javnosti i bez provođenja testa razmjernosti i javnog interesa.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S obzirom da prema odredbi članka 2. podstavka 2. ZPPI-a, taj zakon sadrži odredbe koje su u skladu s Uredbom, a Uredba u članku 4. stavku 2. ne propisuje dostupnost informacija bez provođenja testa razmjernosti i javnog interesa, ovaj sud je rješenjem poslovni broj: UsII-286/17 od 16. kolovoza 2018. prihvatio prijedlog tužitelja i Sudu EU podnio zahtjev za tumačenje relevantnih izvora prava EU.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 xml:space="preserve">Rješenjem Suda EU broj: C-90/18 od 6. rujna 2018., taj je sud u okolnostima konkretnog slučaja ocijenio da je zahtjev za prethodnu odluku podnesen u predmetu poslovni broj: UsII-286/17 očito nedopušten. Zbog navedenog Sud je na konkretan slučaj primijenio odredbu članka 16. stavka 3. ZPPI-a, budući da je, iz naprijed navedenih razloga, ocijenio pravilnim stajalište tuženika da tužitelj raspolaže javnim sredstvima. Kako se ne radi o klasificiranim podacima, unatoč postojanju ograničenja na pristup informacijama (članak 15. stavak </w:t>
      </w:r>
      <w:r w:rsidR="00A03062">
        <w:rPr>
          <w:color w:val="000000"/>
          <w:sz w:val="24"/>
          <w:szCs w:val="24"/>
          <w:lang w:eastAsia="hr-HR" w:bidi="hr-HR"/>
        </w:rPr>
        <w:t>2. točka 2. ZPPI-a</w:t>
      </w:r>
      <w:r>
        <w:rPr>
          <w:color w:val="000000"/>
          <w:sz w:val="24"/>
          <w:szCs w:val="24"/>
          <w:lang w:eastAsia="hr-HR" w:bidi="hr-HR"/>
        </w:rPr>
        <w:t xml:space="preserve"> odnosno obvezi čuvanja bankovne tajne, tražene informacije moraju javnosti biti dostupne bez ikakvih ograničenja pa Sud prihvaća i stajalište tuženika da se u ovoj upravnoj stvari ne može razmatrati pitanje zloupotrebe prava na pristup informacijama.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>S obzirom da se u ovom predmetu ne radi o bitno drukčijim činjeničnim odnosno pravnim okolnostima u odnosu na predmet u kojem je Sudu EU podnesen zahtjev za prethodnu odluku niti su nastupile neke nove okolnosti, Sud ne nalazi potrebnim ponovo podnijeti taj zahtjev.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80"/>
        <w:jc w:val="both"/>
      </w:pPr>
      <w:r>
        <w:rPr>
          <w:color w:val="000000"/>
          <w:sz w:val="24"/>
          <w:szCs w:val="24"/>
          <w:lang w:eastAsia="hr-HR" w:bidi="hr-HR"/>
        </w:rPr>
        <w:t xml:space="preserve">U odnosu na tužbene prigovore Sud nadalje navodi da je Vrhovni sud presudom broj: U-zpz 6/2016-7 od 17. listopada 2018. odbio zahtjev za izvanredno preispitivanje zakonitosti pravomoćne presude ovoga suda poslovni broj: UsII-101/15-5 od 2. rujna 2015. te je prihvatio stajalište ovog suda da tužitelj raspolaže javnim sredstvima, da tražene informacije ne predstavljaju klasificirane podatke te da se u takvom slučaju primjenjuje odredba članka 16. stavka 3. ZPPI-a. Također je Vrhovni sud izrazio stajalište da se ZoKI ne može u konkretnom slučaju uzeti kao </w:t>
      </w:r>
      <w:r>
        <w:rPr>
          <w:rStyle w:val="Bodytext2Italic"/>
          <w:lang w:val="en-US" w:bidi="en-US"/>
        </w:rPr>
        <w:t xml:space="preserve">lex </w:t>
      </w:r>
      <w:r>
        <w:rPr>
          <w:rStyle w:val="Bodytext2Italic"/>
        </w:rPr>
        <w:t>specialis,</w:t>
      </w:r>
      <w:r>
        <w:rPr>
          <w:color w:val="000000"/>
          <w:sz w:val="24"/>
          <w:szCs w:val="24"/>
          <w:lang w:eastAsia="hr-HR" w:bidi="hr-HR"/>
        </w:rPr>
        <w:t xml:space="preserve"> jer bi se pravno načelo </w:t>
      </w:r>
      <w:r>
        <w:rPr>
          <w:rStyle w:val="Bodytext2Italic"/>
          <w:lang w:val="en-US" w:bidi="en-US"/>
        </w:rPr>
        <w:t xml:space="preserve">lex </w:t>
      </w:r>
      <w:r>
        <w:rPr>
          <w:rStyle w:val="Bodytext2Italic"/>
        </w:rPr>
        <w:t xml:space="preserve">specialis derogat legi generali </w:t>
      </w:r>
      <w:r>
        <w:rPr>
          <w:color w:val="000000"/>
          <w:sz w:val="24"/>
          <w:szCs w:val="24"/>
          <w:lang w:eastAsia="hr-HR" w:bidi="hr-HR"/>
        </w:rPr>
        <w:t>moglo primijeniti jedino kad u materijalnopravnim odredbama ZPPI ne bi postojalo izuzeće koji je se odnosi na postojanje bankovne tajne kao posebne vrste poslovne tajne.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firstLine="760"/>
        <w:jc w:val="both"/>
      </w:pPr>
      <w:r>
        <w:rPr>
          <w:color w:val="000000"/>
          <w:sz w:val="24"/>
          <w:szCs w:val="24"/>
          <w:lang w:eastAsia="hr-HR" w:bidi="hr-HR"/>
        </w:rPr>
        <w:t>Međutim, Sud, koji sukladno odredbi članka 31. stavka 1. ZUS-a nije vezan razlozima tužbe, nalazi nezakonitom točku 3. izreke rješenja tuženika kojom se tužitelju naređuje omogućiti pristup informacijama u roku 8 dana od primitka rješenja. Ovo iz razloga što je odredbom članka 26. stavka 1. ZPPI-a propisano da tužba u upravnom sporu ima odgodni učinak ako je rješenjem omogućen pristup informaciji. Prema tome, kod određivanja roka za omogućavanje pristupa informaciji u smislu odredbe članka 25. stavka 7. ZPPI-a, tuženik je morao imati na umu i citiranu odredbu članka 26. stavka 1. ZPPI-a te je nezakonito tužitelju naredio da omogući pristup informaciji prije nego što je upravni spor o zakonitosti tog rješenja dovršen, odnosno prije nego što je rješenje tuženika postalo pravomoćno.</w:t>
      </w:r>
    </w:p>
    <w:p w:rsidR="003E082A" w:rsidRDefault="003E082A" w:rsidP="003E082A">
      <w:pPr>
        <w:pStyle w:val="Bodytext20"/>
        <w:shd w:val="clear" w:color="auto" w:fill="auto"/>
        <w:spacing w:before="0" w:after="590" w:line="240" w:lineRule="auto"/>
        <w:ind w:firstLine="760"/>
        <w:jc w:val="both"/>
      </w:pPr>
      <w:r>
        <w:rPr>
          <w:color w:val="000000"/>
          <w:sz w:val="24"/>
          <w:szCs w:val="24"/>
          <w:lang w:eastAsia="hr-HR" w:bidi="hr-HR"/>
        </w:rPr>
        <w:lastRenderedPageBreak/>
        <w:t>Slijedom izloženog, na temelju odredbe članka 57. stavka 1. ZUS-a i članka 58. stavka 1. ZUS-a presuđeno je kao u izreci.</w:t>
      </w:r>
    </w:p>
    <w:p w:rsidR="003E082A" w:rsidRDefault="003E082A" w:rsidP="003E082A">
      <w:pPr>
        <w:pStyle w:val="Bodytext20"/>
        <w:shd w:val="clear" w:color="auto" w:fill="auto"/>
        <w:spacing w:before="0" w:after="243" w:line="240" w:lineRule="auto"/>
        <w:ind w:left="2900"/>
        <w:jc w:val="left"/>
      </w:pPr>
      <w:r>
        <w:rPr>
          <w:color w:val="000000"/>
          <w:sz w:val="24"/>
          <w:szCs w:val="24"/>
          <w:lang w:eastAsia="hr-HR" w:bidi="hr-HR"/>
        </w:rPr>
        <w:t>U Zagrebu 9. siječnja 2019.</w:t>
      </w:r>
    </w:p>
    <w:p w:rsidR="003E082A" w:rsidRDefault="003E082A" w:rsidP="003E082A">
      <w:pPr>
        <w:pStyle w:val="Bodytext20"/>
        <w:shd w:val="clear" w:color="auto" w:fill="auto"/>
        <w:spacing w:before="0" w:line="240" w:lineRule="auto"/>
        <w:ind w:left="6000"/>
        <w:jc w:val="right"/>
      </w:pPr>
      <w:r>
        <w:rPr>
          <w:color w:val="000000"/>
          <w:sz w:val="24"/>
          <w:szCs w:val="24"/>
          <w:lang w:eastAsia="hr-HR" w:bidi="hr-HR"/>
        </w:rPr>
        <w:t>Predsjednica vijeća                mr. sc. Inga Vezmar Barlek, v.r.</w:t>
      </w:r>
    </w:p>
    <w:p w:rsidR="007C2868" w:rsidRPr="0021190B" w:rsidRDefault="007C2868" w:rsidP="003E082A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21190B" w:rsidSect="0022530F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C7" w:rsidRDefault="003C2DC7" w:rsidP="00ED5275">
      <w:pPr>
        <w:spacing w:after="0" w:line="240" w:lineRule="auto"/>
      </w:pPr>
      <w:r>
        <w:separator/>
      </w:r>
    </w:p>
  </w:endnote>
  <w:endnote w:type="continuationSeparator" w:id="1">
    <w:p w:rsidR="003C2DC7" w:rsidRDefault="003C2DC7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C7" w:rsidRDefault="003C2DC7" w:rsidP="00ED5275">
      <w:pPr>
        <w:spacing w:after="0" w:line="240" w:lineRule="auto"/>
      </w:pPr>
      <w:r>
        <w:separator/>
      </w:r>
    </w:p>
  </w:footnote>
  <w:footnote w:type="continuationSeparator" w:id="1">
    <w:p w:rsidR="003C2DC7" w:rsidRDefault="003C2DC7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2A" w:rsidRDefault="003E082A">
    <w:pPr>
      <w:rPr>
        <w:sz w:val="2"/>
        <w:szCs w:val="2"/>
      </w:rPr>
    </w:pPr>
    <w:r w:rsidRPr="009333D2">
      <w:rPr>
        <w:sz w:val="24"/>
        <w:szCs w:val="24"/>
        <w:lang w:bidi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8.2pt;margin-top:59.3pt;width:235.9pt;height:11.0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082A" w:rsidRDefault="003E082A">
                <w:pPr>
                  <w:tabs>
                    <w:tab w:val="right" w:pos="4718"/>
                  </w:tabs>
                  <w:spacing w:line="240" w:lineRule="auto"/>
                  <w:jc w:val="left"/>
                </w:pPr>
                <w:r>
                  <w:rPr>
                    <w:rStyle w:val="Headerorfooter0"/>
                    <w:rFonts w:eastAsiaTheme="minorHAnsi"/>
                  </w:rPr>
                  <w:t xml:space="preserve">- </w:t>
                </w:r>
                <w:fldSimple w:instr=" PAGE \* MERGEFORMAT ">
                  <w:r w:rsidRPr="003E082A">
                    <w:rPr>
                      <w:rStyle w:val="Headerorfooter0"/>
                      <w:rFonts w:eastAsiaTheme="minorHAnsi"/>
                      <w:noProof/>
                    </w:rPr>
                    <w:t>2</w:t>
                  </w:r>
                </w:fldSimple>
                <w:r>
                  <w:rPr>
                    <w:rStyle w:val="Headerorfooter0"/>
                    <w:rFonts w:eastAsiaTheme="minorHAnsi"/>
                  </w:rPr>
                  <w:t xml:space="preserve"> -</w:t>
                </w:r>
                <w:r>
                  <w:rPr>
                    <w:rStyle w:val="Headerorfooter0"/>
                    <w:rFonts w:eastAsiaTheme="minorHAnsi"/>
                  </w:rPr>
                  <w:tab/>
                  <w:t>Poslovni broj: UsII-422/18-6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DE76D9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DE76D9" w:rsidRPr="00DE7338">
      <w:rPr>
        <w:rFonts w:ascii="Times New Roman" w:hAnsi="Times New Roman"/>
      </w:rPr>
      <w:fldChar w:fldCharType="separate"/>
    </w:r>
    <w:r w:rsidR="00A03062">
      <w:rPr>
        <w:rFonts w:ascii="Times New Roman" w:hAnsi="Times New Roman"/>
        <w:noProof/>
      </w:rPr>
      <w:t>4</w:t>
    </w:r>
    <w:r w:rsidR="00DE76D9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3E082A">
      <w:rPr>
        <w:color w:val="000000"/>
      </w:rPr>
      <w:t>422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3E082A">
      <w:rPr>
        <w:color w:val="00000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82B"/>
    <w:multiLevelType w:val="multilevel"/>
    <w:tmpl w:val="9C24C1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522F4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190B"/>
    <w:rsid w:val="0021561F"/>
    <w:rsid w:val="00227A4B"/>
    <w:rsid w:val="00254015"/>
    <w:rsid w:val="002D77DE"/>
    <w:rsid w:val="002F410F"/>
    <w:rsid w:val="0031791D"/>
    <w:rsid w:val="00320125"/>
    <w:rsid w:val="00320496"/>
    <w:rsid w:val="00330FDD"/>
    <w:rsid w:val="00332BE6"/>
    <w:rsid w:val="00363FB8"/>
    <w:rsid w:val="00371431"/>
    <w:rsid w:val="00387523"/>
    <w:rsid w:val="0039294F"/>
    <w:rsid w:val="00393F5E"/>
    <w:rsid w:val="003C2DC7"/>
    <w:rsid w:val="003C7A1B"/>
    <w:rsid w:val="003D3FE3"/>
    <w:rsid w:val="003D6483"/>
    <w:rsid w:val="003E082A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23F0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3062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E76D9"/>
    <w:rsid w:val="00DF1945"/>
    <w:rsid w:val="00E004BC"/>
    <w:rsid w:val="00E17410"/>
    <w:rsid w:val="00E4276C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orfooter">
    <w:name w:val="Header or footer_"/>
    <w:basedOn w:val="Zadanifontodlomka"/>
    <w:rsid w:val="003E0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E082A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3E08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3E082A"/>
    <w:rPr>
      <w:i/>
      <w:iCs/>
      <w:color w:val="000000"/>
      <w:spacing w:val="0"/>
      <w:w w:val="100"/>
      <w:position w:val="0"/>
      <w:sz w:val="24"/>
      <w:szCs w:val="24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3E082A"/>
    <w:pPr>
      <w:widowControl w:val="0"/>
      <w:shd w:val="clear" w:color="auto" w:fill="FFFFFF"/>
      <w:spacing w:before="720" w:after="0" w:line="605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2019-02-07T10:39:00Z</dcterms:created>
  <dcterms:modified xsi:type="dcterms:W3CDTF">2019-02-07T10:39:00Z</dcterms:modified>
</cp:coreProperties>
</file>