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D17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1714" w:rsidRDefault="002C420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D171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5D1714">
        <w:rPr>
          <w:rFonts w:ascii="Times New Roman" w:eastAsia="Times New Roman" w:hAnsi="Times New Roman" w:cs="Times New Roman"/>
          <w:sz w:val="24"/>
          <w:szCs w:val="24"/>
        </w:rPr>
        <w:t xml:space="preserve">Poslovni broj: </w:t>
      </w:r>
      <w:r w:rsidR="00B759C4" w:rsidRPr="005D1714">
        <w:rPr>
          <w:rFonts w:ascii="Times New Roman" w:eastAsia="Times New Roman" w:hAnsi="Times New Roman" w:cs="Times New Roman"/>
          <w:sz w:val="24"/>
          <w:szCs w:val="24"/>
        </w:rPr>
        <w:t>UsII-</w:t>
      </w:r>
      <w:r w:rsidR="005D1714">
        <w:rPr>
          <w:rFonts w:ascii="Times New Roman" w:eastAsia="Times New Roman" w:hAnsi="Times New Roman" w:cs="Times New Roman"/>
          <w:sz w:val="24"/>
          <w:szCs w:val="24"/>
        </w:rPr>
        <w:t>374</w:t>
      </w:r>
      <w:r w:rsidR="00B759C4" w:rsidRPr="005D1714">
        <w:rPr>
          <w:rFonts w:ascii="Times New Roman" w:eastAsia="Times New Roman" w:hAnsi="Times New Roman" w:cs="Times New Roman"/>
          <w:sz w:val="24"/>
          <w:szCs w:val="24"/>
        </w:rPr>
        <w:t>/</w:t>
      </w:r>
      <w:r w:rsidR="0031791D" w:rsidRPr="005D1714">
        <w:rPr>
          <w:rFonts w:ascii="Times New Roman" w:eastAsia="Times New Roman" w:hAnsi="Times New Roman" w:cs="Times New Roman"/>
          <w:sz w:val="24"/>
          <w:szCs w:val="24"/>
        </w:rPr>
        <w:t>18-</w:t>
      </w:r>
      <w:r w:rsidR="005D1714">
        <w:rPr>
          <w:rFonts w:ascii="Times New Roman" w:eastAsia="Times New Roman" w:hAnsi="Times New Roman" w:cs="Times New Roman"/>
          <w:sz w:val="24"/>
          <w:szCs w:val="24"/>
        </w:rPr>
        <w:t>5</w:t>
      </w:r>
    </w:p>
    <w:p w:rsidR="00ED5275" w:rsidRPr="005D17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17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17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171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D171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U   I M E   R E P U B L I K E   H R V A T S K E</w:t>
      </w:r>
    </w:p>
    <w:p w:rsidR="005D1714" w:rsidRPr="005D1714" w:rsidRDefault="005D1714" w:rsidP="005D1714">
      <w:pPr>
        <w:spacing w:after="0" w:line="240" w:lineRule="auto"/>
        <w:jc w:val="left"/>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P R E S U D A</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ind w:firstLine="720"/>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xml:space="preserve">Visoki upravni sud Republike Hrvatske u vijeću sastavljenom od sudaca toga suda Marine Kosović Marković, predsjednice vijeća, Lidije Vukičević i mr. sc. Inge Vezmar Barlek članica vijeća, te sudske savjetnice Branke Cvitanović,  zapisničarke, u upravnom sporu tužitelja </w:t>
      </w:r>
      <w:r>
        <w:rPr>
          <w:rFonts w:ascii="Times New Roman" w:eastAsia="Times New Roman" w:hAnsi="Times New Roman" w:cs="Times New Roman"/>
          <w:color w:val="000000"/>
          <w:sz w:val="24"/>
          <w:szCs w:val="24"/>
          <w:lang w:eastAsia="hr-HR"/>
        </w:rPr>
        <w:t>........., Zagreb</w:t>
      </w:r>
      <w:r w:rsidRPr="005D1714">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5D1714">
        <w:rPr>
          <w:rFonts w:ascii="Times New Roman" w:eastAsia="Times New Roman" w:hAnsi="Times New Roman" w:cs="Times New Roman"/>
          <w:color w:val="000000"/>
          <w:sz w:val="24"/>
          <w:szCs w:val="24"/>
          <w:lang w:eastAsia="hr-HR"/>
        </w:rPr>
        <w:t>, klasa: UP/II-008-07/18-01/568, urbroj: 401-01/05-18-2 od 2. kolovoza 2018., radi prava na pristup informacijama,  na sjednici vijeća održanoj dana 4. listopada 2018.</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5D1714">
        <w:rPr>
          <w:rFonts w:ascii="Times New Roman" w:eastAsia="Times New Roman" w:hAnsi="Times New Roman" w:cs="Times New Roman"/>
          <w:color w:val="000000"/>
          <w:sz w:val="24"/>
          <w:szCs w:val="24"/>
          <w:lang w:eastAsia="hr-HR"/>
        </w:rPr>
        <w:t>p r e s u d i o   j e</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ind w:left="720" w:firstLine="720"/>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UP/II-008-07/18-01/568, urbroj: 401-01/05-18-2 od 2. kolovoza 2018.</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Obrazloženje</w:t>
      </w:r>
    </w:p>
    <w:p w:rsidR="005D1714" w:rsidRPr="005D1714" w:rsidRDefault="005D1714" w:rsidP="005D1714">
      <w:pPr>
        <w:spacing w:after="0" w:line="240" w:lineRule="auto"/>
        <w:jc w:val="left"/>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ind w:firstLine="720"/>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Osporenim rješenjem odbijena je žalba tužitelja  izjavljena protiv rješenja Županijskog državnog odvjetništva u Varaždinu, broj: PPI-DO-8/17-15 od 20. lipnja 2018., kojim je odbijen zahtjev tužitelja za pristup informacijama kojim je zatražena preslika ili skenirani zbirni godišnji popisni list za 2016. godinu za najmanje dva, ali ne više od tri zamjenika ŽDO-a Varaždin po nasumičnom izboru službenika za informiranje. Zahtjev je odbijen jer ne postoji javni interes zbog kojeg bi trebalo omogućiti pristup informaciji koja predstavlja klasificirani podatak.</w:t>
      </w:r>
    </w:p>
    <w:p w:rsidR="005D1714" w:rsidRPr="005D1714" w:rsidRDefault="005D1714" w:rsidP="005D1714">
      <w:pPr>
        <w:spacing w:after="0" w:line="240" w:lineRule="auto"/>
        <w:ind w:firstLine="720"/>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xml:space="preserve">Protiv naprijed navedenog rješenja tužitelj je podnio tužbu u kojoj navodi da su počinjene povrede odredaba članka 30., 51. i 52. Zakona o općem upravnom postupku (Narodne novine, broj 47/09., dalje: ZUP). To iz razloga što ni prvostupanjsko ni drugostupanjsko tijelo nisu upoznali tužitelja sa sadržajem Opće upute za ocjenjivanje dužnosnika u državnom odvjetništvu broj O-5/01 od 3. lipnja 2001. niti su ga upoznali da je traženo pa pribavljeno mišljenje Ureda Vijeća za nacionalnu sigurnost (dalje: UVNS) niti je upoznat s njegovim sadržajem. Također nije upoznat da je imenovana radna skupina za provedbu testa razmjernosti i javnog interesa te smatra da je imao pravo sudjelovati u ispitnom postupku. Ukazuje na nerazumljivost obrazloženja rješenja tuženika koji navodi da „analizom sadržaja u medijima“ jer je nejasno 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stavak 3. točka 7. i 8. i članka 36. stavka 4. Zakona o državnom odvjetništvu (Narodne novine, broj 76/09., 153/09., 116/10., </w:t>
      </w:r>
      <w:r w:rsidRPr="005D1714">
        <w:rPr>
          <w:rFonts w:ascii="Times New Roman" w:eastAsia="Times New Roman" w:hAnsi="Times New Roman" w:cs="Times New Roman"/>
          <w:color w:val="000000"/>
          <w:sz w:val="24"/>
          <w:szCs w:val="24"/>
          <w:lang w:eastAsia="hr-HR"/>
        </w:rPr>
        <w:lastRenderedPageBreak/>
        <w:t>145/10., 57/11., 130/11., 72/13., 148/13., 33/15., 82/15.), te članka 65. stavka 3. točke b i članka 204. stavka 1. i 2. Poslovnika državnog odvjetništva (Narodne novine, broj 5/14. i 123/15.). Smatra nerazumljivim i paušalnim obrazloženje rješenja kako „predmetna informacija ne daje potpunu sliku i informaciju o radu pojedinog državnog odvjetništva, dok bi se istovremeno omogućavanjem pristupa informaciji stvorila mogućnost da ista bude korištena u nedozvoljene svrhe (npr.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w:t>
      </w:r>
    </w:p>
    <w:p w:rsidR="005D1714" w:rsidRPr="005D1714" w:rsidRDefault="005D1714" w:rsidP="005D1714">
      <w:pPr>
        <w:spacing w:after="0" w:line="240" w:lineRule="auto"/>
        <w:ind w:firstLine="720"/>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Tuženik u odgovoru na tužbu u svemu ostaje kod osporenog rješenja. Smatra da nisu počinjene povrede</w:t>
      </w:r>
      <w:r w:rsidRPr="005D1714">
        <w:rPr>
          <w:rFonts w:ascii="CG Times" w:eastAsia="Times New Roman" w:hAnsi="CG Times" w:cs="Times New Roman"/>
          <w:color w:val="000000"/>
          <w:sz w:val="24"/>
          <w:szCs w:val="24"/>
          <w:lang w:eastAsia="hr-HR"/>
        </w:rPr>
        <w:t> </w:t>
      </w:r>
      <w:r w:rsidRPr="005D1714">
        <w:rPr>
          <w:rFonts w:ascii="Times New Roman" w:eastAsia="Times New Roman" w:hAnsi="Times New Roman" w:cs="Times New Roman"/>
          <w:color w:val="000000"/>
          <w:sz w:val="24"/>
          <w:szCs w:val="24"/>
          <w:lang w:eastAsia="hr-HR"/>
        </w:rPr>
        <w:t>upravnog postupka iz članaka 30., 51. i 52. ZUP-a te navodi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prava na pristup informacijama stranka ne brani svoj interes da dobije zaštićenu informaciju, već eventualno pruža argumentaciju zašto bi zatražena informacija trebala biti dostupna javnosti budući da je ograničenje na informaciji neovisno o podnositelju zahtjeva te ono postoji ili ne postoji. Upućuje na odredbu članka 8. Zakona o pravu na pristup informacijama (Narodne novine, broj 25/13. i 85/15., dalje: ZPPI). Sudjelovanje stranke u upravnom postupku ostvarivanja prava na pristup informacijama protivilo bi se načelu učinkovitosti i ekonomičnosti postupka. ZPPI regulira poseban upravni postupak, koji je jednostranački postupak i omogućava neposredno rješavanje upravne stvari. Isključivo je tužitelj pokazao interes za traženim informacijama koje se ne odnose na pitanja koja su u društvu smatrana pitanjima od javnog interesa. Vlasnik podataka odlučuje o potpunoj ili djelomičnoj deklasifikaciji zatražene informacije te upućuje na odredbu članka 14. Zakona o tajnosti podataka (Narodne novine, broj 79/07. i 86/12., dalje: ZOTP). Poziva se na stajalište izraženo u presudi ovog Suda, poslovni broj UsII-49/14 od 5. studenoga 2014., te zaključuje da je ŽDO Varaždin odlučilo zadržati stupanj tajnosti „povjerljivo“ nakon što je zatražilo mišljenje UVNS-a i nakon provedenog testa razmjernosti i javnog interesa.  Navodi da predmetna informacija ne daje potpunu sliku informacije o radu pojedinog državnog odvjetništva, dok bi se istovremeno omogućavanjem pristupa informaciji stvorila mogućnost da ona bude korištena u nedozvoljene svrhe. Napominje da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bona fide disponiranja pravom, već dovodi do onemogućavanja funkcioniranja pravnog sustava. Naglašava da je prvostupanjsko tijelo u ovom postupku ŽDO Varaždin, a ne ŽDO Dubrovnik kako to pogrešno tužitelj u tužbi navodi. Predlaže tužbeni zahtjev odbiti.</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U skladu s odredbom članka 6. Zakona o upravnim sporovima („Narodne novine“, broj: 20/10., 143/12., 152/14., 94/16. i 29/17.-dalje ZUS) tužitelju je dostavljen odgovor na tužbu tuženika.</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Tužbeni zahtjev nije osnovan.</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Iz podataka spisa predmeta proizlazi da je tužitelj zahtjevom za pristup informacijama zatražio presliku ili skenirani zbirni godišnji popisni list za 2016. godinu za najmanje dva, ali ne više od tri zamjenika ŽDO-a Varaždin po nasumičnom izboru službenika za informiranje.</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xml:space="preserve">            Zahtjev za pravo na pristup informacijama prvostupanjskog tijelo je odbilo na temelju odredbe članka 23. stavka 5. točke 2. i članka 15. stavka 2. točke 1. u svezi s odredbom članka </w:t>
      </w:r>
      <w:r w:rsidRPr="005D1714">
        <w:rPr>
          <w:rFonts w:ascii="Times New Roman" w:eastAsia="Times New Roman" w:hAnsi="Times New Roman" w:cs="Times New Roman"/>
          <w:color w:val="000000"/>
          <w:sz w:val="24"/>
          <w:szCs w:val="24"/>
          <w:lang w:eastAsia="hr-HR"/>
        </w:rPr>
        <w:lastRenderedPageBreak/>
        <w:t>16. stavka 1. ZPPI-a odnosno nakon pribavljenog mišljenja UVNS-a te provedenog testa razmjernosti i javnog interesa jer je informacija klasificirana stupnjem tajnosti „povjerljivo“.</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Odredbom</w:t>
      </w:r>
      <w:r w:rsidRPr="005D1714">
        <w:rPr>
          <w:rFonts w:ascii="CG Times" w:eastAsia="Times New Roman" w:hAnsi="CG Times" w:cs="Times New Roman"/>
          <w:color w:val="000000"/>
          <w:sz w:val="24"/>
          <w:szCs w:val="24"/>
          <w:lang w:eastAsia="hr-HR"/>
        </w:rPr>
        <w:t> </w:t>
      </w:r>
      <w:r w:rsidRPr="005D1714">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5D1714">
        <w:rPr>
          <w:rFonts w:ascii="CG Times" w:eastAsia="Times New Roman" w:hAnsi="CG Times" w:cs="Times New Roman"/>
          <w:color w:val="000000"/>
          <w:sz w:val="24"/>
          <w:szCs w:val="24"/>
          <w:lang w:eastAsia="hr-HR"/>
        </w:rPr>
        <w:t> </w:t>
      </w:r>
      <w:r w:rsidRPr="005D1714">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„povjerljivo“ na temelju Upute Glavnog državnog odvjetnika, broj: O-5/2011 od 3. lipnja 2011. Stoga je prvostupanjsko tijelo, kao vlasnik klasificirane informacije, po prethodno pribavljenom mišljenju UVNS-a od 6. lipnja 2018. provelo test razmjernosti i javnog interesa što je i obrazložilo, čime je u svemu postupilo po odredbi članka 16. stavka 1. ZPPI-a.</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Uz činjenicu da je prvostupanjsko tijelo zatražilo i dobilo mišljenje UVNS-a, koje prileži spisu tuženika, i u koje je prema obrazloženju pobijanog rješenja, tuženik izvršio uvid slijedi da je upravni postupak u potpunosti proveden sukladno mjerodavnim zakonskim odredbama.</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ni jedan takav razlog nije naveo.</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Neosnovani su tužbeni prigovori o povredi pravila</w:t>
      </w:r>
      <w:r w:rsidRPr="005D1714">
        <w:rPr>
          <w:rFonts w:ascii="CG Times" w:eastAsia="Times New Roman" w:hAnsi="CG Times" w:cs="Times New Roman"/>
          <w:color w:val="000000"/>
          <w:sz w:val="24"/>
          <w:szCs w:val="24"/>
          <w:lang w:eastAsia="hr-HR"/>
        </w:rPr>
        <w:t> </w:t>
      </w:r>
      <w:r w:rsidRPr="005D1714">
        <w:rPr>
          <w:rFonts w:ascii="Times New Roman" w:eastAsia="Times New Roman" w:hAnsi="Times New Roman" w:cs="Times New Roman"/>
          <w:color w:val="000000"/>
          <w:sz w:val="24"/>
          <w:szCs w:val="24"/>
          <w:lang w:eastAsia="hr-HR"/>
        </w:rPr>
        <w:t>upravnog postupka. Sud ističe kako ne postoje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5D1714" w:rsidRPr="005D1714" w:rsidRDefault="005D1714" w:rsidP="005D1714">
      <w:pPr>
        <w:spacing w:after="0" w:line="240" w:lineRule="auto"/>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5D1714" w:rsidRPr="005D1714" w:rsidRDefault="005D1714" w:rsidP="005D1714">
      <w:pPr>
        <w:spacing w:after="0" w:line="240" w:lineRule="auto"/>
        <w:jc w:val="left"/>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U Zagrebu 4. listopada 2018.</w:t>
      </w:r>
    </w:p>
    <w:p w:rsidR="005D1714" w:rsidRPr="005D1714" w:rsidRDefault="005D1714" w:rsidP="005D1714">
      <w:pPr>
        <w:spacing w:after="0" w:line="240" w:lineRule="auto"/>
        <w:jc w:val="center"/>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5D1714" w:rsidRPr="005D1714" w:rsidRDefault="005D1714" w:rsidP="005D1714">
      <w:pPr>
        <w:spacing w:after="0" w:line="240" w:lineRule="auto"/>
        <w:jc w:val="left"/>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Predsjednica vijeća</w:t>
      </w:r>
    </w:p>
    <w:p w:rsidR="005D1714" w:rsidRPr="005D1714" w:rsidRDefault="005D1714" w:rsidP="005D1714">
      <w:pPr>
        <w:spacing w:after="0" w:line="240" w:lineRule="auto"/>
        <w:jc w:val="right"/>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Marina Kosović Marković, v.r.</w:t>
      </w:r>
    </w:p>
    <w:p w:rsidR="005D1714" w:rsidRPr="005D1714" w:rsidRDefault="005D1714" w:rsidP="005D1714">
      <w:pPr>
        <w:spacing w:after="0" w:line="240" w:lineRule="auto"/>
        <w:jc w:val="right"/>
        <w:rPr>
          <w:rFonts w:ascii="CG Times" w:eastAsia="Times New Roman" w:hAnsi="CG Times" w:cs="Times New Roman"/>
          <w:color w:val="000000"/>
          <w:sz w:val="24"/>
          <w:szCs w:val="24"/>
          <w:lang w:eastAsia="hr-HR"/>
        </w:rPr>
      </w:pPr>
      <w:r w:rsidRPr="005D1714">
        <w:rPr>
          <w:rFonts w:ascii="Times New Roman" w:eastAsia="Times New Roman" w:hAnsi="Times New Roman" w:cs="Times New Roman"/>
          <w:color w:val="000000"/>
          <w:sz w:val="24"/>
          <w:szCs w:val="24"/>
          <w:lang w:eastAsia="hr-HR"/>
        </w:rPr>
        <w:t> </w:t>
      </w:r>
    </w:p>
    <w:p w:rsidR="007C2868" w:rsidRPr="005D1714" w:rsidRDefault="007C2868" w:rsidP="005D1714">
      <w:pPr>
        <w:spacing w:after="0" w:line="276" w:lineRule="atLeast"/>
        <w:jc w:val="center"/>
        <w:rPr>
          <w:rFonts w:ascii="CG Times" w:eastAsia="Times New Roman" w:hAnsi="CG Times" w:cs="Times New Roman"/>
          <w:color w:val="000000"/>
          <w:sz w:val="24"/>
          <w:szCs w:val="24"/>
          <w:lang w:eastAsia="hr-HR"/>
        </w:rPr>
      </w:pPr>
    </w:p>
    <w:sectPr w:rsidR="007C2868" w:rsidRPr="005D171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FD" w:rsidRDefault="00AB6FFD" w:rsidP="00ED5275">
      <w:pPr>
        <w:spacing w:after="0" w:line="240" w:lineRule="auto"/>
      </w:pPr>
      <w:r>
        <w:separator/>
      </w:r>
    </w:p>
  </w:endnote>
  <w:endnote w:type="continuationSeparator" w:id="1">
    <w:p w:rsidR="00AB6FFD" w:rsidRDefault="00AB6FF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FD" w:rsidRDefault="00AB6FFD" w:rsidP="00ED5275">
      <w:pPr>
        <w:spacing w:after="0" w:line="240" w:lineRule="auto"/>
      </w:pPr>
      <w:r>
        <w:separator/>
      </w:r>
    </w:p>
  </w:footnote>
  <w:footnote w:type="continuationSeparator" w:id="1">
    <w:p w:rsidR="00AB6FFD" w:rsidRDefault="00AB6FF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C4205" w:rsidRPr="00DE7338">
      <w:rPr>
        <w:rFonts w:ascii="Times New Roman" w:hAnsi="Times New Roman"/>
      </w:rPr>
      <w:fldChar w:fldCharType="begin"/>
    </w:r>
    <w:r w:rsidRPr="00DE7338">
      <w:rPr>
        <w:rFonts w:ascii="Times New Roman" w:hAnsi="Times New Roman"/>
      </w:rPr>
      <w:instrText xml:space="preserve"> PAGE  \* MERGEFORMAT </w:instrText>
    </w:r>
    <w:r w:rsidR="002C4205" w:rsidRPr="00DE7338">
      <w:rPr>
        <w:rFonts w:ascii="Times New Roman" w:hAnsi="Times New Roman"/>
      </w:rPr>
      <w:fldChar w:fldCharType="separate"/>
    </w:r>
    <w:r w:rsidR="005D1714">
      <w:rPr>
        <w:rFonts w:ascii="Times New Roman" w:hAnsi="Times New Roman"/>
        <w:noProof/>
      </w:rPr>
      <w:t>2</w:t>
    </w:r>
    <w:r w:rsidR="002C420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5D1714">
      <w:rPr>
        <w:color w:val="000000"/>
      </w:rPr>
      <w:t>374</w:t>
    </w:r>
    <w:r w:rsidR="004043B1">
      <w:rPr>
        <w:color w:val="000000"/>
      </w:rPr>
      <w:t>/</w:t>
    </w:r>
    <w:r w:rsidR="0031791D">
      <w:rPr>
        <w:color w:val="000000"/>
      </w:rPr>
      <w:t>18-</w:t>
    </w:r>
    <w:r w:rsidR="005D1714">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C420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D1714"/>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B6FFD"/>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7792083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1409</Words>
  <Characters>8035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2018-11-16T13:06:00Z</dcterms:created>
  <dcterms:modified xsi:type="dcterms:W3CDTF">2018-11-16T13:06:00Z</dcterms:modified>
</cp:coreProperties>
</file>