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219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219B8" w:rsidRDefault="00D57E6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219B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1219B8">
        <w:rPr>
          <w:rFonts w:ascii="Times New Roman" w:eastAsia="Times New Roman" w:hAnsi="Times New Roman" w:cs="Times New Roman"/>
          <w:sz w:val="24"/>
          <w:szCs w:val="24"/>
        </w:rPr>
        <w:t xml:space="preserve">Poslovni broj: </w:t>
      </w:r>
      <w:r w:rsidR="00B759C4" w:rsidRPr="001219B8">
        <w:rPr>
          <w:rFonts w:ascii="Times New Roman" w:eastAsia="Times New Roman" w:hAnsi="Times New Roman" w:cs="Times New Roman"/>
          <w:sz w:val="24"/>
          <w:szCs w:val="24"/>
        </w:rPr>
        <w:t>UsII-</w:t>
      </w:r>
      <w:r w:rsidR="006B222A" w:rsidRPr="001219B8">
        <w:rPr>
          <w:rFonts w:ascii="Times New Roman" w:eastAsia="Times New Roman" w:hAnsi="Times New Roman" w:cs="Times New Roman"/>
          <w:sz w:val="24"/>
          <w:szCs w:val="24"/>
        </w:rPr>
        <w:t>39</w:t>
      </w:r>
      <w:r w:rsidR="00B759C4" w:rsidRPr="001219B8">
        <w:rPr>
          <w:rFonts w:ascii="Times New Roman" w:eastAsia="Times New Roman" w:hAnsi="Times New Roman" w:cs="Times New Roman"/>
          <w:sz w:val="24"/>
          <w:szCs w:val="24"/>
        </w:rPr>
        <w:t>/</w:t>
      </w:r>
      <w:r w:rsidR="0031791D" w:rsidRPr="001219B8">
        <w:rPr>
          <w:rFonts w:ascii="Times New Roman" w:eastAsia="Times New Roman" w:hAnsi="Times New Roman" w:cs="Times New Roman"/>
          <w:sz w:val="24"/>
          <w:szCs w:val="24"/>
        </w:rPr>
        <w:t>18-</w:t>
      </w:r>
      <w:r w:rsidR="006B222A" w:rsidRPr="001219B8">
        <w:rPr>
          <w:rFonts w:ascii="Times New Roman" w:eastAsia="Times New Roman" w:hAnsi="Times New Roman" w:cs="Times New Roman"/>
          <w:sz w:val="24"/>
          <w:szCs w:val="24"/>
        </w:rPr>
        <w:t>7</w:t>
      </w:r>
    </w:p>
    <w:p w:rsidR="00ED5275" w:rsidRPr="001219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219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219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219B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219B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U  I M E   R E P U B L I K E   H R V A T S K E</w:t>
      </w:r>
    </w:p>
    <w:p w:rsidR="001219B8" w:rsidRPr="001219B8" w:rsidRDefault="001219B8" w:rsidP="001219B8">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P R E S U D A</w:t>
      </w: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xml:space="preserve">Visoki upravni sud Republike Hrvatske u vijeću sastavljenom od sutkinja Lidije Rostaš-Beroš, predsjednice vijeća, Ljiljane Karlovčan-Đurović i Sanje Štefan, članica vijeća uz višeg sudskog savjetnika Josipa Petkovića, zapisničara, u upravnom sporu tužitelja </w:t>
      </w:r>
      <w:r>
        <w:rPr>
          <w:rFonts w:ascii="Times New Roman" w:eastAsia="Times New Roman" w:hAnsi="Times New Roman" w:cs="Times New Roman"/>
          <w:color w:val="000000"/>
          <w:sz w:val="24"/>
          <w:szCs w:val="24"/>
          <w:lang w:eastAsia="hr-HR"/>
        </w:rPr>
        <w:t>........., Zagreb</w:t>
      </w:r>
      <w:r w:rsidRPr="001219B8">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1219B8">
        <w:rPr>
          <w:rFonts w:ascii="Times New Roman" w:eastAsia="Times New Roman" w:hAnsi="Times New Roman" w:cs="Times New Roman"/>
          <w:color w:val="000000"/>
          <w:sz w:val="24"/>
          <w:szCs w:val="24"/>
          <w:lang w:eastAsia="hr-HR"/>
        </w:rPr>
        <w:t>, protiv tuženog Povjerenika za inf</w:t>
      </w:r>
      <w:r>
        <w:rPr>
          <w:rFonts w:ascii="Times New Roman" w:eastAsia="Times New Roman" w:hAnsi="Times New Roman" w:cs="Times New Roman"/>
          <w:color w:val="000000"/>
          <w:sz w:val="24"/>
          <w:szCs w:val="24"/>
          <w:lang w:eastAsia="hr-HR"/>
        </w:rPr>
        <w:t>ormiranje Republike Hrvatske, Zagreb</w:t>
      </w:r>
      <w:r w:rsidRPr="001219B8">
        <w:rPr>
          <w:rFonts w:ascii="Times New Roman" w:eastAsia="Times New Roman" w:hAnsi="Times New Roman" w:cs="Times New Roman"/>
          <w:color w:val="000000"/>
          <w:sz w:val="24"/>
          <w:szCs w:val="24"/>
          <w:lang w:eastAsia="hr-HR"/>
        </w:rPr>
        <w:t>, radi prava na pristup informacijama, na sjednici održanoj</w:t>
      </w:r>
      <w:bookmarkStart w:id="1" w:name="Datum1"/>
      <w:bookmarkEnd w:id="1"/>
      <w:r w:rsidRPr="001219B8">
        <w:rPr>
          <w:rFonts w:ascii="Times New Roman" w:eastAsia="Times New Roman" w:hAnsi="Times New Roman" w:cs="Times New Roman"/>
          <w:color w:val="000000"/>
          <w:sz w:val="24"/>
          <w:szCs w:val="24"/>
          <w:lang w:eastAsia="hr-HR"/>
        </w:rPr>
        <w:t> 13.  rujna 2018.  </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1219B8">
        <w:rPr>
          <w:rFonts w:ascii="Times New Roman" w:eastAsia="Times New Roman" w:hAnsi="Times New Roman" w:cs="Times New Roman"/>
          <w:color w:val="000000"/>
          <w:sz w:val="24"/>
          <w:szCs w:val="24"/>
          <w:lang w:eastAsia="hr-HR"/>
        </w:rPr>
        <w:t>p r e s u d i o   j e</w:t>
      </w: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UP/II-008-07/18-01/124, URBROJ: 401-01/05-18-4 od 29. svibnja 2018.</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Odbija se zahtjev tužitelja za naknadu troškova upravnog spora.</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left="720"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Obrazloženje</w:t>
      </w: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firstLine="720"/>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Pobijanim rješenjem Povjerenika za informiranje odbijena je žalba tužitelja izjavljena protiv rješenja Županijskog državnog odvjetništva u Osijeku, broj: PPI-DO-9/2017 od 8. veljače 2018., kao neosnovana.</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Ukazuje sudu na izrazitu paušalnost i nerazumljivost obrazloženja rješenja tuženika. Tvrdi da je pogrešno primijenjeno materijalno pravo prilikom donošenja rješenja tuženika jer da se, prema članku 36. stavku 3. točci 7. i 8. Zakona o državnom odvjetništvu u radu državnog odvjetništva smatraju tajnima podaci iz evidencija 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Nadalje tvrdi da je člankom 66. </w:t>
      </w:r>
      <w:r w:rsidRPr="001219B8">
        <w:rPr>
          <w:rFonts w:ascii="Times New Roman" w:eastAsia="Times New Roman" w:hAnsi="Times New Roman" w:cs="Times New Roman"/>
          <w:color w:val="000000"/>
          <w:sz w:val="24"/>
          <w:szCs w:val="24"/>
          <w:lang w:eastAsia="hr-HR"/>
        </w:rPr>
        <w:lastRenderedPageBreak/>
        <w:t>Poslovnika državnog odvjetništva određeno da se stupnjem tajnosti „ograničeno“ klasificiraju podaci državnih odvjetništava kako to detaljno navodi tužitelj u tužbi.</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Tužitelj tvrdi da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Tužitelj predlaže da ovaj Sud djelomično poništi rješenje tuženika i prvostupanjsko rješenje te naloži Županijskom državnom odvjetništvu u Osijeku da mu omogući pristup informaciji koja sadrži presliku ili skenirani dio mjesečnog izvješća za siječanj 2015. u trećem dijelu koji sadrži razne statističke podatke za kazneni i građanski odjel, a kako to tužitelj detaljno navodi u tužbi. Tužitelj je zatražio i naknadu troškova upravnog spora u ukupnom iznosu od 5.000,00 kn.</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Tuženik je u odgovoru na tužbu u potpunosti ostao kod navoda iz osporavanog rješenja i razloga navedenih u obrazloženju osporenog rješenja te smatra da nije počinjena povreda načela upravnog postupka iz članka 30., te članka 51. i 52. Zakona o općem upravnom postupku, odnosno da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Ističe da ostaje kod tvrdnje iz pobijanog drugostupanjskog rješenja u kojem navodi „kako analizom sadržaja u medijima, osim žaliteljevog interesa, nije utvrdilo postojanje javnog interesa za zatraženom informacijom“. Tvrdi da je, prema njegovim saznanjima, isključivo tužitelj pokazao interes za predmetnim informacijama te da je isključivo tužitelj dostavljao tuženikove drugostupanjske odluke H. n. i. a., što su mnogi mediji prenosili uz tendenciozne naslove, ne ulazeći u sadržaj predmetnih odluka. Napominje da je tužitelj u zahtjevu koji je podnio ŽDO-u Osijek, ali i u naknadnoj žalbi upućenoj tuženiku zatražio presliku ili skenirano mjesečno izvješće za siječanj 2015.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Tuženik predlaže da ovaj sud odbije tužbeni zahtjev i potvrdi pobijano rješenje.</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lastRenderedPageBreak/>
        <w:t>Tužbeni zahtjev nije osnovan.</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Odredbom članka 16. stavka 1. Zakona o pravu na pristup informacijama („Narodne novine“ 25/13. i 85/15.) propisano je da je tijelo javne vlasti nadležno za postupanje po zahtjevu za pristup informaciji iz članka 15. stavka 2. točke 2., 3., 4., 5., 6. i 7. i stavka 3. i 4. istog zakona,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Prema odredbi članka 16. Zakona o tajnosti podataka, kad postoji interes javnosti, vlasnik podatka je dužan ocijeniti razmjernost između prava na pristup informacijama i zaštite vrijednosti propisanih u člancima 6., 7., 8. i 9. toga zakona te odlučiti o zadržavanju stupnja tajnosti, promjeni stupnja tajnosti, deklasifikaciji ili oslobađanju od obveze čuvanja tajnosti podataka. Prije donošenja odluke vlasnik podatka dužan je zatražiti mišljenje Ureda vijeća za nacionalnu sigurnost te je dužan o tom postupku izvijestiti i druga nadležna tijela propisana Zakonom.</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Iz podataka u spisu predmeta proizlazi da je tužitelj zahtjevom za pristup informacijama od 31. kolovoza 2017. zatražio presliku ili skenirano mjesečno izvješće za siječanj 2015. godine. Zahtjev je tijelo javne vlasti odbilo na temelju odredbe članka 23. stavka 5. točke 2. u vezi s člankom 15. stavkom 2. točkom 1. Zakona o pravu na pristup informacijama jer je informacija klasificirana stupnjem tajnosti „ograničeno“. Tuženik je u okviru žalbenog postupka izvršio uvid u mišljenje Ureda vijeća za nacionalnu sigurnost od 5. veljače 2018. koje je dano u skladu s člankom 16. stavkom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Županijsko državno odvjetništvo u Osijeku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xml:space="preserve">Imajući na umu navedeno, prema ocjeni ovoga suda tuženik pravilno smatra da je u predmetnom slučaju odlučan razlog zaštite učinkovitosti integriteta rada državnog odvjetništva što preteže nad mogućnošću kontrole nad radom tijela javne vlasti od strane </w:t>
      </w:r>
      <w:r w:rsidRPr="001219B8">
        <w:rPr>
          <w:rFonts w:ascii="Times New Roman" w:eastAsia="Times New Roman" w:hAnsi="Times New Roman" w:cs="Times New Roman"/>
          <w:color w:val="000000"/>
          <w:sz w:val="24"/>
          <w:szCs w:val="24"/>
          <w:lang w:eastAsia="hr-HR"/>
        </w:rPr>
        <w:lastRenderedPageBreak/>
        <w:t>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S obzirom na citirane zakonske odredbe na kojima se temelji pobijana odluka tuženika, kao i činjenično stanje utvrđeno u postupku, ovaj sud ocjenjuje da je tuženik pravilno postupio odbivši žalbu tužitelja protiv rješenja Županijskog državnog odvjetništva u Osijeku te je za takvu svoju odluku dao jasno i valjano obrazloženje, koje u cijelosti prihvaća i ovaj sud.</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S obzirom na sve navedeno, ovaj sud je na temelju odredbe članka 57. stavka 1. Zakona o upravnim sporovima („Narodne novine“ 20/10., 143/12., 152/14., 94/16. i 29/17.), odlučio kao u izreci i odbio tužbeni zahtjev.</w:t>
      </w:r>
    </w:p>
    <w:p w:rsidR="001219B8" w:rsidRPr="001219B8" w:rsidRDefault="001219B8" w:rsidP="001219B8">
      <w:pPr>
        <w:spacing w:after="0" w:line="240" w:lineRule="auto"/>
        <w:ind w:firstLine="720"/>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1219B8" w:rsidRPr="001219B8" w:rsidRDefault="001219B8" w:rsidP="001219B8">
      <w:pPr>
        <w:spacing w:after="0" w:line="240" w:lineRule="auto"/>
        <w:jc w:val="left"/>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jc w:val="center"/>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U Zagrebu 13. rujna 2018.</w:t>
      </w:r>
    </w:p>
    <w:p w:rsidR="001219B8" w:rsidRPr="001219B8" w:rsidRDefault="001219B8" w:rsidP="001219B8">
      <w:pPr>
        <w:spacing w:after="0" w:line="240" w:lineRule="auto"/>
        <w:jc w:val="right"/>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1219B8" w:rsidRPr="001219B8" w:rsidRDefault="001219B8" w:rsidP="001219B8">
      <w:pPr>
        <w:spacing w:after="0" w:line="240" w:lineRule="auto"/>
        <w:jc w:val="right"/>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Predsjednica vijeća</w:t>
      </w:r>
    </w:p>
    <w:p w:rsidR="001219B8" w:rsidRPr="001219B8" w:rsidRDefault="001219B8" w:rsidP="001219B8">
      <w:pPr>
        <w:spacing w:after="0" w:line="240" w:lineRule="auto"/>
        <w:jc w:val="right"/>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Lidija Rostaš-Beroš, dipl. iur., v.r.</w:t>
      </w:r>
    </w:p>
    <w:p w:rsidR="001219B8" w:rsidRPr="001219B8" w:rsidRDefault="001219B8" w:rsidP="001219B8">
      <w:pPr>
        <w:spacing w:after="0" w:line="240" w:lineRule="auto"/>
        <w:jc w:val="right"/>
        <w:rPr>
          <w:rFonts w:ascii="CG Times" w:eastAsia="Times New Roman" w:hAnsi="CG Times" w:cs="Times New Roman"/>
          <w:color w:val="000000"/>
          <w:sz w:val="24"/>
          <w:szCs w:val="24"/>
          <w:lang w:eastAsia="hr-HR"/>
        </w:rPr>
      </w:pPr>
      <w:r w:rsidRPr="001219B8">
        <w:rPr>
          <w:rFonts w:ascii="Times New Roman" w:eastAsia="Times New Roman" w:hAnsi="Times New Roman" w:cs="Times New Roman"/>
          <w:color w:val="000000"/>
          <w:sz w:val="24"/>
          <w:szCs w:val="24"/>
          <w:lang w:eastAsia="hr-HR"/>
        </w:rPr>
        <w:t> </w:t>
      </w:r>
    </w:p>
    <w:p w:rsidR="007C2868" w:rsidRPr="001219B8" w:rsidRDefault="007C2868" w:rsidP="001219B8">
      <w:pPr>
        <w:spacing w:after="0" w:line="276" w:lineRule="atLeast"/>
        <w:jc w:val="center"/>
        <w:rPr>
          <w:rFonts w:ascii="CG Times" w:eastAsia="Times New Roman" w:hAnsi="CG Times" w:cs="Times New Roman"/>
          <w:color w:val="000000"/>
          <w:sz w:val="24"/>
          <w:szCs w:val="24"/>
          <w:lang w:eastAsia="hr-HR"/>
        </w:rPr>
      </w:pPr>
    </w:p>
    <w:sectPr w:rsidR="007C2868" w:rsidRPr="001219B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CE5" w:rsidRDefault="006E3CE5" w:rsidP="00ED5275">
      <w:pPr>
        <w:spacing w:after="0" w:line="240" w:lineRule="auto"/>
      </w:pPr>
      <w:r>
        <w:separator/>
      </w:r>
    </w:p>
  </w:endnote>
  <w:endnote w:type="continuationSeparator" w:id="1">
    <w:p w:rsidR="006E3CE5" w:rsidRDefault="006E3CE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CE5" w:rsidRDefault="006E3CE5" w:rsidP="00ED5275">
      <w:pPr>
        <w:spacing w:after="0" w:line="240" w:lineRule="auto"/>
      </w:pPr>
      <w:r>
        <w:separator/>
      </w:r>
    </w:p>
  </w:footnote>
  <w:footnote w:type="continuationSeparator" w:id="1">
    <w:p w:rsidR="006E3CE5" w:rsidRDefault="006E3CE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57E61" w:rsidRPr="00DE7338">
      <w:rPr>
        <w:rFonts w:ascii="Times New Roman" w:hAnsi="Times New Roman"/>
      </w:rPr>
      <w:fldChar w:fldCharType="begin"/>
    </w:r>
    <w:r w:rsidRPr="00DE7338">
      <w:rPr>
        <w:rFonts w:ascii="Times New Roman" w:hAnsi="Times New Roman"/>
      </w:rPr>
      <w:instrText xml:space="preserve"> PAGE  \* MERGEFORMAT </w:instrText>
    </w:r>
    <w:r w:rsidR="00D57E61" w:rsidRPr="00DE7338">
      <w:rPr>
        <w:rFonts w:ascii="Times New Roman" w:hAnsi="Times New Roman"/>
      </w:rPr>
      <w:fldChar w:fldCharType="separate"/>
    </w:r>
    <w:r w:rsidR="001219B8">
      <w:rPr>
        <w:rFonts w:ascii="Times New Roman" w:hAnsi="Times New Roman"/>
        <w:noProof/>
      </w:rPr>
      <w:t>4</w:t>
    </w:r>
    <w:r w:rsidR="00D57E6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219B8">
      <w:rPr>
        <w:color w:val="000000"/>
      </w:rPr>
      <w:t>270</w:t>
    </w:r>
    <w:r w:rsidR="004043B1">
      <w:rPr>
        <w:color w:val="000000"/>
      </w:rPr>
      <w:t>/</w:t>
    </w:r>
    <w:r w:rsidR="0031791D">
      <w:rPr>
        <w:color w:val="000000"/>
      </w:rPr>
      <w:t>18-</w:t>
    </w:r>
    <w:r w:rsidR="001219B8">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219B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E3CE5"/>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57E61"/>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47896407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2018-11-16T07:35:00Z</dcterms:created>
  <dcterms:modified xsi:type="dcterms:W3CDTF">2018-11-16T07:35:00Z</dcterms:modified>
</cp:coreProperties>
</file>