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CF" w:rsidRDefault="00CE0BCF" w:rsidP="00CE0BCF">
      <w:pPr>
        <w:rPr>
          <w:rFonts w:ascii="Times New Roman" w:hAnsi="Times New Roman"/>
          <w:lang w:val="hr-HR"/>
        </w:rPr>
      </w:pPr>
    </w:p>
    <w:p w:rsidR="00CE0BCF" w:rsidRDefault="00A76F4D" w:rsidP="00CE0BCF">
      <w:pPr>
        <w:ind w:left="2880"/>
        <w:jc w:val="right"/>
        <w:rPr>
          <w:rFonts w:ascii="Times New Roman" w:hAnsi="Times New Roman"/>
          <w:lang w:val="hr-HR"/>
        </w:rPr>
      </w:pPr>
      <w:r w:rsidRPr="00A76F4D">
        <w:pict>
          <v:shapetype id="_x0000_t202" coordsize="21600,21600" o:spt="202" path="m,l,21600r21600,l21600,xe">
            <v:stroke joinstyle="miter"/>
            <v:path gradientshapeok="t" o:connecttype="rect"/>
          </v:shapetype>
          <v:shape id="_x0000_s1026" type="#_x0000_t202" style="position:absolute;left:0;text-align:left;margin-left:-21.85pt;margin-top:3.85pt;width:246pt;height:60pt;z-index:251658240" stroked="f">
            <v:textbox style="mso-next-textbox:#_x0000_s1026">
              <w:txbxContent>
                <w:p w:rsidR="00CE0BCF" w:rsidRDefault="00CE0BCF" w:rsidP="00CE0BCF">
                  <w:pPr>
                    <w:jc w:val="center"/>
                    <w:rPr>
                      <w:rFonts w:ascii="Times New Roman" w:hAnsi="Times New Roman"/>
                      <w:b/>
                      <w:sz w:val="20"/>
                      <w:lang w:val="hr-HR"/>
                    </w:rPr>
                  </w:pPr>
                  <w:r>
                    <w:rPr>
                      <w:rFonts w:ascii="Times New Roman" w:hAnsi="Times New Roman"/>
                      <w:b/>
                      <w:sz w:val="20"/>
                      <w:lang w:val="hr-HR"/>
                    </w:rPr>
                    <w:t>REPUBLIKA HRVATSKA</w:t>
                  </w:r>
                </w:p>
                <w:p w:rsidR="00CE0BCF" w:rsidRDefault="00CE0BCF" w:rsidP="00CE0BCF">
                  <w:pPr>
                    <w:jc w:val="center"/>
                    <w:rPr>
                      <w:rFonts w:ascii="Times New Roman" w:hAnsi="Times New Roman"/>
                      <w:b/>
                      <w:sz w:val="20"/>
                      <w:lang w:val="hr-HR"/>
                    </w:rPr>
                  </w:pPr>
                  <w:r>
                    <w:rPr>
                      <w:rFonts w:ascii="Times New Roman" w:hAnsi="Times New Roman"/>
                      <w:b/>
                      <w:sz w:val="20"/>
                      <w:lang w:val="hr-HR"/>
                    </w:rPr>
                    <w:t>VISOKI UPRAVNI SUD REPUBLIKE HRVATSKE</w:t>
                  </w:r>
                </w:p>
                <w:p w:rsidR="00CE0BCF" w:rsidRDefault="00CE0BCF" w:rsidP="00CE0BCF">
                  <w:pPr>
                    <w:jc w:val="center"/>
                    <w:rPr>
                      <w:rFonts w:ascii="Times New Roman" w:hAnsi="Times New Roman"/>
                      <w:b/>
                      <w:sz w:val="20"/>
                      <w:lang w:val="hr-HR"/>
                    </w:rPr>
                  </w:pPr>
                  <w:r>
                    <w:rPr>
                      <w:rFonts w:ascii="Times New Roman" w:hAnsi="Times New Roman"/>
                      <w:b/>
                      <w:sz w:val="20"/>
                      <w:lang w:val="hr-HR"/>
                    </w:rPr>
                    <w:t>Z A G R E B</w:t>
                  </w:r>
                </w:p>
                <w:p w:rsidR="00CE0BCF" w:rsidRDefault="00CE0BCF" w:rsidP="00CE0BCF">
                  <w:pPr>
                    <w:jc w:val="center"/>
                    <w:rPr>
                      <w:rFonts w:ascii="Times New Roman" w:hAnsi="Times New Roman"/>
                      <w:b/>
                      <w:sz w:val="20"/>
                      <w:lang w:val="hr-HR"/>
                    </w:rPr>
                  </w:pPr>
                  <w:r>
                    <w:rPr>
                      <w:rFonts w:ascii="Times New Roman" w:hAnsi="Times New Roman"/>
                      <w:b/>
                      <w:sz w:val="20"/>
                      <w:lang w:val="hr-HR"/>
                    </w:rPr>
                    <w:t>Frankopanska 16</w:t>
                  </w:r>
                </w:p>
              </w:txbxContent>
            </v:textbox>
          </v:shape>
        </w:pict>
      </w:r>
      <w:r w:rsidR="00CE0BCF">
        <w:rPr>
          <w:rFonts w:ascii="Times New Roman" w:hAnsi="Times New Roman"/>
          <w:lang w:val="hr-HR"/>
        </w:rPr>
        <w:t xml:space="preserve">Poslovni broj: </w:t>
      </w:r>
      <w:bookmarkStart w:id="0" w:name="Broj"/>
      <w:bookmarkEnd w:id="0"/>
      <w:r w:rsidR="00CE0BCF">
        <w:rPr>
          <w:rFonts w:ascii="Times New Roman" w:hAnsi="Times New Roman"/>
          <w:lang w:val="hr-HR"/>
        </w:rPr>
        <w:t>UsII-9</w:t>
      </w:r>
      <w:r w:rsidR="000407F8">
        <w:rPr>
          <w:rFonts w:ascii="Times New Roman" w:hAnsi="Times New Roman"/>
          <w:lang w:val="hr-HR"/>
        </w:rPr>
        <w:t>5</w:t>
      </w:r>
      <w:r w:rsidR="00CE0BCF">
        <w:rPr>
          <w:rFonts w:ascii="Times New Roman" w:hAnsi="Times New Roman"/>
          <w:lang w:val="hr-HR"/>
        </w:rPr>
        <w:t>/16-</w:t>
      </w:r>
      <w:r w:rsidR="000407F8">
        <w:rPr>
          <w:rFonts w:ascii="Times New Roman" w:hAnsi="Times New Roman"/>
          <w:lang w:val="hr-HR"/>
        </w:rPr>
        <w:t>8</w:t>
      </w:r>
    </w:p>
    <w:p w:rsidR="00CE0BCF" w:rsidRDefault="00CE0BCF" w:rsidP="00CE0BCF">
      <w:pPr>
        <w:rPr>
          <w:rFonts w:ascii="Times New Roman" w:hAnsi="Times New Roman"/>
          <w:lang w:val="hr-HR"/>
        </w:rPr>
      </w:pPr>
    </w:p>
    <w:p w:rsidR="00CE0BCF" w:rsidRDefault="00CE0BCF" w:rsidP="00CE0BCF">
      <w:pPr>
        <w:rPr>
          <w:rFonts w:ascii="Times New Roman" w:hAnsi="Times New Roman"/>
          <w:lang w:val="hr-HR"/>
        </w:rPr>
      </w:pPr>
    </w:p>
    <w:p w:rsidR="00CE0BCF" w:rsidRDefault="00CE0BCF" w:rsidP="00CE0BCF">
      <w:pPr>
        <w:rPr>
          <w:rFonts w:ascii="Times New Roman" w:hAnsi="Times New Roman"/>
          <w:lang w:val="hr-HR"/>
        </w:rPr>
      </w:pPr>
    </w:p>
    <w:p w:rsidR="00CE0BCF" w:rsidRDefault="00CE0BCF" w:rsidP="00CE0BCF">
      <w:pPr>
        <w:rPr>
          <w:rFonts w:ascii="Times New Roman" w:hAnsi="Times New Roman"/>
          <w:lang w:val="hr-HR"/>
        </w:rPr>
      </w:pPr>
    </w:p>
    <w:p w:rsidR="00CE0BCF" w:rsidRDefault="00CE0BCF" w:rsidP="00CE0BCF">
      <w:pPr>
        <w:rPr>
          <w:rFonts w:ascii="Times New Roman" w:hAnsi="Times New Roman"/>
          <w:lang w:val="hr-HR"/>
        </w:rPr>
      </w:pPr>
    </w:p>
    <w:p w:rsidR="000407F8" w:rsidRPr="000407F8" w:rsidRDefault="000407F8" w:rsidP="000407F8">
      <w:pPr>
        <w:overflowPunct/>
        <w:autoSpaceDE/>
        <w:autoSpaceDN/>
        <w:adjustRightInd/>
        <w:jc w:val="center"/>
        <w:rPr>
          <w:color w:val="000000"/>
          <w:sz w:val="27"/>
          <w:szCs w:val="27"/>
          <w:lang w:val="hr-HR" w:eastAsia="hr-HR"/>
        </w:rPr>
      </w:pPr>
      <w:r w:rsidRPr="000407F8">
        <w:rPr>
          <w:rFonts w:ascii="Times New Roman" w:hAnsi="Times New Roman"/>
          <w:color w:val="000000"/>
          <w:sz w:val="27"/>
          <w:szCs w:val="27"/>
          <w:lang w:val="hr-HR" w:eastAsia="hr-HR"/>
        </w:rPr>
        <w:t>U  I M E   R E P U B L I K E   H R V A T S K E</w:t>
      </w:r>
    </w:p>
    <w:p w:rsidR="000407F8" w:rsidRPr="000407F8" w:rsidRDefault="000407F8" w:rsidP="000407F8">
      <w:pPr>
        <w:overflowPunct/>
        <w:autoSpaceDE/>
        <w:autoSpaceDN/>
        <w:adjustRightInd/>
        <w:rPr>
          <w:color w:val="000000"/>
          <w:sz w:val="27"/>
          <w:szCs w:val="27"/>
          <w:lang w:val="hr-HR" w:eastAsia="hr-HR"/>
        </w:rPr>
      </w:pPr>
      <w:r w:rsidRPr="000407F8">
        <w:rPr>
          <w:rFonts w:ascii="Times New Roman" w:hAnsi="Times New Roman"/>
          <w:color w:val="000000"/>
          <w:sz w:val="27"/>
          <w:szCs w:val="27"/>
          <w:lang w:val="hr-HR" w:eastAsia="hr-HR"/>
        </w:rPr>
        <w:t> </w:t>
      </w:r>
    </w:p>
    <w:p w:rsidR="000407F8" w:rsidRPr="000407F8" w:rsidRDefault="000407F8" w:rsidP="000407F8">
      <w:pPr>
        <w:overflowPunct/>
        <w:autoSpaceDE/>
        <w:autoSpaceDN/>
        <w:adjustRightInd/>
        <w:jc w:val="center"/>
        <w:rPr>
          <w:color w:val="000000"/>
          <w:sz w:val="27"/>
          <w:szCs w:val="27"/>
          <w:lang w:val="hr-HR" w:eastAsia="hr-HR"/>
        </w:rPr>
      </w:pPr>
      <w:bookmarkStart w:id="1" w:name="Vrsta"/>
      <w:bookmarkEnd w:id="1"/>
      <w:r w:rsidRPr="000407F8">
        <w:rPr>
          <w:rFonts w:ascii="Times New Roman" w:hAnsi="Times New Roman"/>
          <w:color w:val="000000"/>
          <w:sz w:val="27"/>
          <w:szCs w:val="27"/>
          <w:lang w:val="hr-HR" w:eastAsia="hr-HR"/>
        </w:rPr>
        <w:t>P R E S U D A</w:t>
      </w:r>
    </w:p>
    <w:p w:rsidR="000407F8" w:rsidRPr="000407F8" w:rsidRDefault="000407F8" w:rsidP="000407F8">
      <w:pPr>
        <w:overflowPunct/>
        <w:autoSpaceDE/>
        <w:autoSpaceDN/>
        <w:adjustRightInd/>
        <w:jc w:val="both"/>
        <w:rPr>
          <w:color w:val="000000"/>
          <w:sz w:val="27"/>
          <w:szCs w:val="27"/>
          <w:lang w:val="hr-HR" w:eastAsia="hr-HR"/>
        </w:rPr>
      </w:pPr>
      <w:r w:rsidRPr="000407F8">
        <w:rPr>
          <w:rFonts w:ascii="Times New Roman" w:hAnsi="Times New Roman"/>
          <w:color w:val="000000"/>
          <w:sz w:val="27"/>
          <w:szCs w:val="27"/>
          <w:lang w:val="hr-HR" w:eastAsia="hr-HR"/>
        </w:rPr>
        <w:t> </w:t>
      </w:r>
    </w:p>
    <w:p w:rsidR="000407F8" w:rsidRPr="000407F8" w:rsidRDefault="000407F8" w:rsidP="000407F8">
      <w:pPr>
        <w:overflowPunct/>
        <w:autoSpaceDE/>
        <w:autoSpaceDN/>
        <w:adjustRightInd/>
        <w:jc w:val="both"/>
        <w:rPr>
          <w:color w:val="000000"/>
          <w:sz w:val="27"/>
          <w:szCs w:val="27"/>
          <w:lang w:val="hr-HR" w:eastAsia="hr-HR"/>
        </w:rPr>
      </w:pPr>
      <w:r w:rsidRPr="000407F8">
        <w:rPr>
          <w:rFonts w:ascii="Times New Roman" w:hAnsi="Times New Roman"/>
          <w:color w:val="000000"/>
          <w:sz w:val="27"/>
          <w:szCs w:val="27"/>
          <w:lang w:val="hr-HR" w:eastAsia="hr-HR"/>
        </w:rPr>
        <w:t>            Visoki upravni sud Republike Hrvatske u vijeću sastavljenom od sudaca toga suda Ane Berlengi Fellner, predsjednice vijeća, Arme Vagner Popović i Mirjane Čačić, članica vijeća, te više sudske savjetnice Ljerke Morović Pavić, zapisničarke, u upra</w:t>
      </w:r>
      <w:r>
        <w:rPr>
          <w:rFonts w:ascii="Times New Roman" w:hAnsi="Times New Roman"/>
          <w:color w:val="000000"/>
          <w:sz w:val="27"/>
          <w:szCs w:val="27"/>
          <w:lang w:val="hr-HR" w:eastAsia="hr-HR"/>
        </w:rPr>
        <w:t>vnom sporu tužitelja Općine Gračišće</w:t>
      </w:r>
      <w:r w:rsidRPr="000407F8">
        <w:rPr>
          <w:rFonts w:ascii="Times New Roman" w:hAnsi="Times New Roman"/>
          <w:color w:val="000000"/>
          <w:sz w:val="27"/>
          <w:szCs w:val="27"/>
          <w:lang w:val="hr-HR" w:eastAsia="hr-HR"/>
        </w:rPr>
        <w:t xml:space="preserve">, koju zastupa </w:t>
      </w:r>
      <w:r>
        <w:rPr>
          <w:rFonts w:ascii="Times New Roman" w:hAnsi="Times New Roman"/>
          <w:color w:val="000000"/>
          <w:sz w:val="27"/>
          <w:szCs w:val="27"/>
          <w:lang w:val="hr-HR" w:eastAsia="hr-HR"/>
        </w:rPr>
        <w:t>………, odvjetnik u Puli</w:t>
      </w:r>
      <w:r w:rsidRPr="000407F8">
        <w:rPr>
          <w:rFonts w:ascii="Times New Roman" w:hAnsi="Times New Roman"/>
          <w:color w:val="000000"/>
          <w:sz w:val="27"/>
          <w:szCs w:val="27"/>
          <w:lang w:val="hr-HR" w:eastAsia="hr-HR"/>
        </w:rPr>
        <w:t xml:space="preserve">, protiv tuženika Povjerenika za informiranje, Zagreb, Jurišićeva 19., uz sudjelovanje zainteresirane osobe </w:t>
      </w:r>
      <w:r>
        <w:rPr>
          <w:rFonts w:ascii="Times New Roman" w:hAnsi="Times New Roman"/>
          <w:color w:val="000000"/>
          <w:sz w:val="27"/>
          <w:szCs w:val="27"/>
          <w:lang w:val="hr-HR" w:eastAsia="hr-HR"/>
        </w:rPr>
        <w:t>……… iz Gračišća</w:t>
      </w:r>
      <w:r w:rsidRPr="000407F8">
        <w:rPr>
          <w:rFonts w:ascii="Times New Roman" w:hAnsi="Times New Roman"/>
          <w:color w:val="000000"/>
          <w:sz w:val="27"/>
          <w:szCs w:val="27"/>
          <w:lang w:val="hr-HR" w:eastAsia="hr-HR"/>
        </w:rPr>
        <w:t>, u predmetu radi prava na pristup informacijama, na sjednici vijeća održanoj 28. rujna 2016.</w:t>
      </w:r>
    </w:p>
    <w:p w:rsidR="000407F8" w:rsidRPr="000407F8" w:rsidRDefault="000407F8" w:rsidP="000407F8">
      <w:pPr>
        <w:overflowPunct/>
        <w:autoSpaceDE/>
        <w:autoSpaceDN/>
        <w:adjustRightInd/>
        <w:jc w:val="both"/>
        <w:rPr>
          <w:color w:val="000000"/>
          <w:sz w:val="27"/>
          <w:szCs w:val="27"/>
          <w:lang w:val="hr-HR" w:eastAsia="hr-HR"/>
        </w:rPr>
      </w:pPr>
      <w:r w:rsidRPr="000407F8">
        <w:rPr>
          <w:rFonts w:ascii="Times New Roman" w:hAnsi="Times New Roman"/>
          <w:color w:val="000000"/>
          <w:sz w:val="27"/>
          <w:szCs w:val="27"/>
          <w:lang w:val="hr-HR" w:eastAsia="hr-HR"/>
        </w:rPr>
        <w:t> </w:t>
      </w:r>
    </w:p>
    <w:p w:rsidR="000407F8" w:rsidRPr="000407F8" w:rsidRDefault="000407F8" w:rsidP="000407F8">
      <w:pPr>
        <w:overflowPunct/>
        <w:autoSpaceDE/>
        <w:autoSpaceDN/>
        <w:adjustRightInd/>
        <w:jc w:val="center"/>
        <w:rPr>
          <w:color w:val="000000"/>
          <w:sz w:val="27"/>
          <w:szCs w:val="27"/>
          <w:lang w:val="hr-HR" w:eastAsia="hr-HR"/>
        </w:rPr>
      </w:pPr>
      <w:r w:rsidRPr="000407F8">
        <w:rPr>
          <w:rFonts w:ascii="Times New Roman" w:hAnsi="Times New Roman"/>
          <w:color w:val="000000"/>
          <w:sz w:val="27"/>
          <w:szCs w:val="27"/>
          <w:lang w:val="hr-HR" w:eastAsia="hr-HR"/>
        </w:rPr>
        <w:t> p r e s u d i o  j e</w:t>
      </w:r>
    </w:p>
    <w:p w:rsidR="000407F8" w:rsidRPr="000407F8" w:rsidRDefault="000407F8" w:rsidP="000407F8">
      <w:pPr>
        <w:overflowPunct/>
        <w:autoSpaceDE/>
        <w:autoSpaceDN/>
        <w:adjustRightInd/>
        <w:rPr>
          <w:color w:val="000000"/>
          <w:sz w:val="27"/>
          <w:szCs w:val="27"/>
          <w:lang w:val="hr-HR" w:eastAsia="hr-HR"/>
        </w:rPr>
      </w:pPr>
      <w:r w:rsidRPr="000407F8">
        <w:rPr>
          <w:rFonts w:ascii="Times New Roman" w:hAnsi="Times New Roman"/>
          <w:color w:val="000000"/>
          <w:sz w:val="27"/>
          <w:szCs w:val="27"/>
          <w:lang w:val="hr-HR" w:eastAsia="hr-HR"/>
        </w:rPr>
        <w:t> </w:t>
      </w:r>
    </w:p>
    <w:p w:rsidR="000407F8" w:rsidRPr="000407F8" w:rsidRDefault="000407F8" w:rsidP="000407F8">
      <w:pPr>
        <w:overflowPunct/>
        <w:autoSpaceDE/>
        <w:autoSpaceDN/>
        <w:adjustRightInd/>
        <w:ind w:left="720" w:firstLine="720"/>
        <w:jc w:val="both"/>
        <w:rPr>
          <w:color w:val="000000"/>
          <w:sz w:val="27"/>
          <w:szCs w:val="27"/>
          <w:lang w:val="hr-HR" w:eastAsia="hr-HR"/>
        </w:rPr>
      </w:pPr>
      <w:r w:rsidRPr="000407F8">
        <w:rPr>
          <w:rFonts w:ascii="Times New Roman" w:hAnsi="Times New Roman"/>
          <w:color w:val="000000"/>
          <w:sz w:val="27"/>
          <w:szCs w:val="27"/>
          <w:lang w:val="hr-HR" w:eastAsia="hr-HR"/>
        </w:rPr>
        <w:t>Odbija se tužbeni zahtjev radi poništenja Povjerenika za informiranje, klasa: UP/II-008-07/14-01/264, urbroj: 401-01/06-16-05 od 16. svibnja 2016.  </w:t>
      </w:r>
    </w:p>
    <w:p w:rsidR="000407F8" w:rsidRPr="000407F8" w:rsidRDefault="000407F8" w:rsidP="000407F8">
      <w:pPr>
        <w:overflowPunct/>
        <w:autoSpaceDE/>
        <w:autoSpaceDN/>
        <w:adjustRightInd/>
        <w:ind w:left="720" w:firstLine="720"/>
        <w:jc w:val="both"/>
        <w:rPr>
          <w:color w:val="000000"/>
          <w:sz w:val="27"/>
          <w:szCs w:val="27"/>
          <w:lang w:val="hr-HR" w:eastAsia="hr-HR"/>
        </w:rPr>
      </w:pPr>
      <w:r w:rsidRPr="000407F8">
        <w:rPr>
          <w:rFonts w:ascii="Times New Roman" w:hAnsi="Times New Roman"/>
          <w:color w:val="000000"/>
          <w:sz w:val="27"/>
          <w:szCs w:val="27"/>
          <w:lang w:val="hr-HR" w:eastAsia="hr-HR"/>
        </w:rPr>
        <w:t> </w:t>
      </w:r>
    </w:p>
    <w:p w:rsidR="000407F8" w:rsidRPr="000407F8" w:rsidRDefault="000407F8" w:rsidP="000407F8">
      <w:pPr>
        <w:overflowPunct/>
        <w:autoSpaceDE/>
        <w:autoSpaceDN/>
        <w:adjustRightInd/>
        <w:jc w:val="center"/>
        <w:rPr>
          <w:color w:val="000000"/>
          <w:sz w:val="27"/>
          <w:szCs w:val="27"/>
          <w:lang w:val="hr-HR" w:eastAsia="hr-HR"/>
        </w:rPr>
      </w:pPr>
      <w:r w:rsidRPr="000407F8">
        <w:rPr>
          <w:rFonts w:ascii="Times New Roman" w:hAnsi="Times New Roman"/>
          <w:color w:val="000000"/>
          <w:sz w:val="27"/>
          <w:szCs w:val="27"/>
          <w:lang w:val="hr-HR" w:eastAsia="hr-HR"/>
        </w:rPr>
        <w:t>Obrazloženje</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 </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Rješenjem tuženika,</w:t>
      </w:r>
      <w:r w:rsidRPr="000407F8">
        <w:rPr>
          <w:rFonts w:ascii="Times New Roman" w:hAnsi="Times New Roman"/>
          <w:color w:val="000000"/>
          <w:sz w:val="27"/>
          <w:lang w:val="hr-HR" w:eastAsia="hr-HR"/>
        </w:rPr>
        <w:t> </w:t>
      </w:r>
      <w:r w:rsidRPr="000407F8">
        <w:rPr>
          <w:rFonts w:ascii="Times New Roman" w:hAnsi="Times New Roman"/>
          <w:color w:val="000000"/>
          <w:sz w:val="27"/>
          <w:szCs w:val="27"/>
          <w:lang w:val="hr-HR" w:eastAsia="hr-HR"/>
        </w:rPr>
        <w:t xml:space="preserve">klasa: UP/II-008-07/14-01/264 od 16. svibnja 2016., poništeno je rješenje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klasa: UP/I-008-02/14-01/01, urbroj: 2163/02-03-02-14-06 od 15. travnja 2014., kojim je odbijen zahtjev </w:t>
      </w:r>
      <w:r>
        <w:rPr>
          <w:rFonts w:ascii="Times New Roman" w:hAnsi="Times New Roman"/>
          <w:color w:val="000000"/>
          <w:sz w:val="27"/>
          <w:szCs w:val="27"/>
          <w:lang w:val="hr-HR" w:eastAsia="hr-HR"/>
        </w:rPr>
        <w:t>………</w:t>
      </w:r>
      <w:r w:rsidRPr="000407F8">
        <w:rPr>
          <w:rFonts w:ascii="Times New Roman" w:hAnsi="Times New Roman"/>
          <w:color w:val="000000"/>
          <w:sz w:val="27"/>
          <w:szCs w:val="27"/>
          <w:lang w:val="hr-HR" w:eastAsia="hr-HR"/>
        </w:rPr>
        <w:t xml:space="preserve"> od 4. ožujka 2014. radi ostvarivanja prava na pristup informacijama pobliže navedenim u tom rješenju.</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Protiv rješenja tuženika  tužbu je podnio tužitelj i to protiv točke 1., 2. i 4. osporavanog rješenja navodeći da ne osporava postojanje javnog interesa odnosno pravo svih fizičkih i pravnih osoba da</w:t>
      </w:r>
      <w:r w:rsidRPr="000407F8">
        <w:rPr>
          <w:rFonts w:ascii="Times New Roman" w:hAnsi="Times New Roman"/>
          <w:color w:val="000000"/>
          <w:sz w:val="27"/>
          <w:lang w:val="hr-HR" w:eastAsia="hr-HR"/>
        </w:rPr>
        <w:t> </w:t>
      </w:r>
      <w:r w:rsidRPr="000407F8">
        <w:rPr>
          <w:rFonts w:ascii="Times New Roman" w:hAnsi="Times New Roman"/>
          <w:color w:val="000000"/>
          <w:sz w:val="27"/>
          <w:szCs w:val="27"/>
          <w:lang w:val="hr-HR" w:eastAsia="hr-HR"/>
        </w:rPr>
        <w:t xml:space="preserve">znaju na koji se način i u koju svrhu koriste javna sredstva. Međutim, smatra da konto kartice proračuna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nisu informacije u smislu članka 5. stavka 3. Zakona o pravu na pristup informacijama  obzirom da su podaci o raspolaganjima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dostupni svima u financijskim izvješćima te se na taj način omogućuje uvid u raspolaganje javnim sredstvima sukladno odredbi članka 16. stavak 3. Zakona. Informacije o raspolaganju sredstvima su javne, objavljene u službenim novinama, na web stranici tužitelja, u medijima te je javnosti omogućeno sudjelovanje pri donošenju proračuna i planova raspodjele sredstava iz proračuna. Tužitelj ukazuje kako zainteresirana osoba učestalo podnosi zahtjeve, traži veliki broj informacija pa zaključuje da zloupotrebljava pravo na  pristup informacijama, jer učestalim </w:t>
      </w:r>
      <w:r w:rsidRPr="000407F8">
        <w:rPr>
          <w:rFonts w:ascii="Times New Roman" w:hAnsi="Times New Roman"/>
          <w:color w:val="000000"/>
          <w:sz w:val="27"/>
          <w:szCs w:val="27"/>
          <w:lang w:val="hr-HR" w:eastAsia="hr-HR"/>
        </w:rPr>
        <w:lastRenderedPageBreak/>
        <w:t xml:space="preserve">zahtjevima za dostavu istovrsnih informacija i zahtjevima kojima traži veliki broj informacija, i to konto kartica od početka 2009. do 2015. godine dolazi do opterećivanja rada i redovitog funkcioniranja tijela javne vlasti –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Iz godišnjih i periodičnih financijskih izvješća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vidljivi su prihodi i rashodi te se pristupom podacima – godišnjim financijskim izvješćima, financijskim izvješćima o izvršenju proračuna, može ostvariti jednak cilj i informacije koje se pružaju i konto karticama proračuna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Ističe da zainteresirana osoba nije dovoljno specificirala svoj zahtjev kojim traži pristup informacijama, te je paušalno zatražila ispis svih konto kartica za određeni period. Zbog obima dokumentacije, tužitelj smatra da je podnositelj zahtjeva dužan točno odrediti koje konto kartice su predmetom njegovih interesa, obzirom da konto kartice daju pregled pojedinačnih stavki knjiženja po različitim kriterijima, pa je potrebno specificirati po kojem kriteriju se traže informacije, a da iste nisu dostupne putem javnih glasila i web stranice tužitelja.</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Predlaže Sudu da nakon provedene rasprave donese presudu kojom će usvojiti tužbeni zahtjev, poništiti odluku tuženika i sam riješiti stvar.</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 xml:space="preserve">Tuženik u odgovoru na tužbu ističe da se predmetne informacije odnose na raspolaganje sredstvima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koje je kao tijelo javne vlasti po zahtjevu korisnika dužno postupiti sukladno odredbi članka 16. stavka 3. Zakona o pravu na pristup informacijama, te odredbi članka 15. stavak 2. i 3. istog Zakona. Ističe da Općina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kao tijelo javne vlasti, pri donošenju prvostupanjske odluke nije uzela u obzir sadržaj traženih informacija te o istima nije niti odlučilo, već je odbilo zahtjev podnositelja iz procesnih razloga, jer kako navode nije pojasnio svoj zahtjev, iako je iz same činjenice da je u drugostupanjskom postupku tijelo javne vlasti Povjerenici za informiranje dostavilo u zahtjevu zatražene informacije, proizlazi  kako tijelo javne vlasti niti u prvostupanjskom postupku nije moglo biti u sumnji u pogledu toga na što se zahtjev odnosi te kako nije imalo stvarnog razloga pozivati podnositelja da pojasni svoj zahtjev. Naime, ispis kontnih kartica koji je za traženi period u ovom predmetu zatražio podnositelj ne predstavlja, kako to navodi tužitelj „obimnu“ dokumentaciju već se iste lako mogu ispisati iz programa unutar kojeg se vodi proračunsko knjigovodstvo tijela javne vlasti, a njihov obim nije toliki da bi nesrazmjerno opterećivao rad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te se iste mogu dostaviti zainteresiranoj osobi na način da se zaštite osobni podaci osoba koje su vršile uplate u proračun sukladno odredbi članku 15. stavak 2 točka 2. Zakona, zbog čega u pogledu zatraženih informacija nema drugih zakonskih razloga za ograničenje informacija. Nadalje, iz javno objavljenih financijskih izvješća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također je utvrđeno da tražene informacije iz predmetnog zahtjeva nisu objavljene, pa su stoga netočne tvrdnje tužitelja da je tuženik proizvoljno utvrdio javni interes za omogućavanje pristupa informaciji te kako nema potrebe za traženje istih jer su ove, kako navodi objavljene. Korisnik prava na pristup informacijama tražio je informaciju koja postoji kao izrađena informacija, odnosno ista se može vrlo lako ispisati iz postojećeg programa u kojem se vodi proračunsko knjigovodstvo. Tuženik se poziva na odredbe članka 6. i 18. stavak 4. Zakona, a vezano za tvrdnje tužitelja o zlouporabi prava na pristup informacijama, ističe da zakon koji je bio na snazi u vrijeme podnošenja predmetnog zahtjeva (Narodne novine, broj 20/13.) nije </w:t>
      </w:r>
      <w:r w:rsidRPr="000407F8">
        <w:rPr>
          <w:rFonts w:ascii="Times New Roman" w:hAnsi="Times New Roman"/>
          <w:color w:val="000000"/>
          <w:sz w:val="27"/>
          <w:szCs w:val="27"/>
          <w:lang w:val="hr-HR" w:eastAsia="hr-HR"/>
        </w:rPr>
        <w:lastRenderedPageBreak/>
        <w:t>bila propisana odredba koja bi regulirala tzv. „zlouporabu prava“ pa je razvidno kako je u drugostupanjskom postupku tuženik utvrdio da je zainteresirana osoba zatražila jasno određene informacije koje je tijelo javne vlasti imalo u svom posjedu i da je u prvostupanjskom postupku tijelo pogrešno primijenilo materijalni propis, kada je umjesto da izvrši uvid u tražene informacije i meritorno riješi predmetni zahtjev, zahtjev odbilo jer podnositelj nije pojasnio svoje traženje, a koje je bilo točno određeno pri podnošenju te identično u pojašnjenu koje je podnositelj dostavio, a koje je zapravo bilo potpuno nepotrebno. Napominje da su kontne kartice informacije iz kojih su vidljiva sva pojedinačna raspolaganja općine (isplate i uplate), koja sadrže i osobne podatke fizičkih osoba te su u posjedu tijela javne vlasti, podaci koje tijelo javne vlasti objavljuje u financijskih izvješćima su zbirni podaci, odnosno dokument je općenitog karaktera i tiču se ukupnih raspolaganja u polugodišnjem i godišnjem periodu, u kojima nisu vidljiva pojedinačna novčana raspolaganja, dakle kome se i koliko isplatilo sredstava i na ime koje stavke, a te informacije građani imaju pravo tražiti i dobiti sukladno odredbama članka 15. stavak 5. te članka 16. stavak 3. Zakona. Navodi da svaka vlast, pa tako i ona na lokalnom nivou, treba biti transparentna i otvorena te informirati građane što radi i kako troši proračunska ili javna sredstva. Transparentnost omogućava veću kontrolu tijela javne vlasti, posebice u odnosu na trošenje javnih sredstava te tako sprječava moguće zlouporabe koje bi mogle ostati skrivene. U konkretnom slučaju se radi o financijskoj transparentnosti tijela javne vlasti, koje predstavlja bitnu odrednicu pristupa informacijama, a koja omogućava građanima da dobiju točne informacije o trošenju proračunskog novca. Dostupnošću kontnih kartica osigurava se pristup informacijama o tome koliko se sredstava raspodjeljuje na različite oblike potrošnje i kako se ti prihodi prikupljaju (isplate i uplate po pojedinim stavkama). Pristup informacijama o potrošnji javnog novca, u konkretnom slučaju, proračunskom novcu općine, omogućuje građanima razumijevanje odluke koje donosi tijelo javne vlasti, a koje imaju utjecaj na njihov svakodnevni život. Ako građani raspolažu podacima o aktivnostima pojedinih tijela javne vlasti povećava se kontrola nad vlašću, a što pozitivno utječe na njihovu odgovornost prema građanima. Zaključuje kako iz dokumentacije u spisu predmeta te predmetnih informacija proizlazi da je podnositelj zahtjeva tražio dostavu kontnih kartica koje su informacija u zakonskom smislu, koja k tome i nije toliko opsežna kako to u tužbi navodi tužitelj, budući se proračunsko knjigovodstvo vodi pomoću informatičkog programa iz kojeg se vrlo lako može ispisati bilo koja informacija. Tuženik ostaje kod razloga osporenog rješenja i razloga navedenih u odgovoru na tužbu te predlaže odbiti tužbu i potvrditi osporeno rješenje.</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 xml:space="preserve">Zainteresirana osoba, </w:t>
      </w:r>
      <w:r>
        <w:rPr>
          <w:rFonts w:ascii="Times New Roman" w:hAnsi="Times New Roman"/>
          <w:color w:val="000000"/>
          <w:sz w:val="27"/>
          <w:szCs w:val="27"/>
          <w:lang w:val="hr-HR" w:eastAsia="hr-HR"/>
        </w:rPr>
        <w:t>………</w:t>
      </w:r>
      <w:r w:rsidRPr="000407F8">
        <w:rPr>
          <w:rFonts w:ascii="Times New Roman" w:hAnsi="Times New Roman"/>
          <w:color w:val="000000"/>
          <w:sz w:val="27"/>
          <w:szCs w:val="27"/>
          <w:lang w:val="hr-HR" w:eastAsia="hr-HR"/>
        </w:rPr>
        <w:t xml:space="preserve"> u svom odgovoru na tužbu u bitnom ističe prigovor nedostatka aktivne legitimacije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smatrajući da kao donositelj prvostupanjskog upravnog rješenja nije ovlašten podnijeti tužbu pri čemu se pozvao na upravnosudsku praksu izraženu u odluci Už-2965/54 od 29. listopada 1954. Zainteresirana osoba smatra da konto kartice tužitelja jesu informacije koje je tužitelj već i dostavio s djelomičnim podacima. Smatra netočnom tvrdnju tužitelja da tražena informacija nije informacija u smislu odredbe članka 5. stavak 3. Zak</w:t>
      </w:r>
      <w:r>
        <w:rPr>
          <w:rFonts w:ascii="Times New Roman" w:hAnsi="Times New Roman"/>
          <w:color w:val="000000"/>
          <w:sz w:val="27"/>
          <w:szCs w:val="27"/>
          <w:lang w:val="hr-HR" w:eastAsia="hr-HR"/>
        </w:rPr>
        <w:t>ona, ističući da je od Općine Tisno</w:t>
      </w:r>
      <w:r w:rsidRPr="000407F8">
        <w:rPr>
          <w:rFonts w:ascii="Times New Roman" w:hAnsi="Times New Roman"/>
          <w:color w:val="000000"/>
          <w:sz w:val="27"/>
          <w:szCs w:val="27"/>
          <w:lang w:val="hr-HR" w:eastAsia="hr-HR"/>
        </w:rPr>
        <w:t xml:space="preserve"> također zatražen ispis nekoliko kontnih </w:t>
      </w:r>
      <w:r w:rsidRPr="000407F8">
        <w:rPr>
          <w:rFonts w:ascii="Times New Roman" w:hAnsi="Times New Roman"/>
          <w:color w:val="000000"/>
          <w:sz w:val="27"/>
          <w:szCs w:val="27"/>
          <w:lang w:val="hr-HR" w:eastAsia="hr-HR"/>
        </w:rPr>
        <w:lastRenderedPageBreak/>
        <w:t xml:space="preserve">kartica te da je dobio traženu informaciju odnosno ispis traženih kontnih kartica. Ističe kako su tek 2016. godine djelomično dostupna financijska izvješća na web stranici, a tražene informacije nisu u potpunosti dostupne u medijima. Smatra da tužitelj nije dokazao da su tražene informacije javno dostupne, nije dokazao da sa zahtjevom za ispisom kontnih kartica dolazi do opterećivanja rada i redovitog funkcioniranja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xml:space="preserve">, da nije dokazao da je podnositelj u trenutku pisanja zahtjeva i žalbi za kontnim karticama bio vijećnik u Općini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Predlaže tužbu odbaciti kao nedopuštenu, odnosno odbiti tužbeni zahtjev.</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Tužbeni zahtjev nije osnovan.</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Budući da tužitelj osporava samo primjenu prava, činjenice su nesporne, a tužitelj u tužbi paušalno zahtijeva održavanje rasprave ne ukazujući izričito sudu iz kojeg razloga bi održavanje rasprave o spornom pravnom pitanju bilo odlučno, to je Sud ovaj spor riješio bez rasprave, sukladno ovlaštenju propisanom odredbom članka 36. točka 4. Zakona o upravnim sporovima (Narodne novine, broj 20/10., 143/12. i 152/14.-dalje ZUS). Na temelju razmatranja svih činjeničnih i pravnih pitanja (odredba članka 55. stavak 3. ZUS-a), ovaj Sud je ocijenio da je tužbeni zahtjev tužitelja neosnovan.</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Prije svega ovaj Sud ocjenjuje neosnovanim prigovor zainteresirane osobe da tužitelj ne bi bio aktivno legitimiran pokrenuti upravni spor protiv rješenja tuženika kojim je odlučeno o žalbi zainteresirane osobe protiv rješenja tužitelja. Treba reći, da na temelju odredbe članka 26. stavak 2. Zakona o pravu na pristup informacijama upravni spor protiv rješenja iz stavka 1. tog članka može pokrenuti tijelo javne vlasti koje je donijelo prvostupanjsko rješenje. S obzirom na citiranu odredbu materijalnog zakona, ovaj Sud ocjenjuje tužbu tužitelja dopuštenom.</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 xml:space="preserve">Nadalje, neosnovan je prigovor tužitelja da zatražene kontne kartice nemaju značaj informacija u smislu odredbe članka 5. stavak 3. Zakona o pravu na pristup informacijama iz razloga jer su zatražene informacije javno objavljene, te da su sadržane u javnom dostupnim financijskim izvješćima Općine </w:t>
      </w:r>
      <w:r>
        <w:rPr>
          <w:rFonts w:ascii="Times New Roman" w:hAnsi="Times New Roman"/>
          <w:color w:val="000000"/>
          <w:sz w:val="27"/>
          <w:szCs w:val="27"/>
          <w:lang w:val="hr-HR" w:eastAsia="hr-HR"/>
        </w:rPr>
        <w:t>Gračišće</w:t>
      </w:r>
      <w:r w:rsidRPr="000407F8">
        <w:rPr>
          <w:rFonts w:ascii="Times New Roman" w:hAnsi="Times New Roman"/>
          <w:color w:val="000000"/>
          <w:sz w:val="27"/>
          <w:szCs w:val="27"/>
          <w:lang w:val="hr-HR" w:eastAsia="hr-HR"/>
        </w:rPr>
        <w:t>. Ovaj Sud prihvaća stajalište tuženika izneseno u obrazloženju osporavanog rješenja i odgovoru na tužbu da se u konkretnom slučaju radi upravo o informacijama sukladno odredbi članka 5. Zakona, iz koje su vidljiva sva pojedinačna raspolaganja tužitelja (isplate i uplate) dok su podaci koji se javno objavljuju u financijskim izvješćima zbirni podaci općenitog karaktera i odnose se na ukupna raspolaganja u određenom periodu i iz njih nisu vidljiva pojedinačna novčana raspolaganja. Stoga osnovano tuženik u obrazloženju osporenog rješenja ističe kako se u odnosu na trošenje proračunskog novca radi o informacijama tijela javne vlasti koje su svima dostupne, dok u odnosu na pojedinačne uplate sredstava u općini proračuna može doći do povrede zaštićenih interesa fizičkih osoba zbog čega je te podatke potrebno zaštiti.</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 xml:space="preserve">Dakle, proizlazi da od strane zainteresirane osobe tražene kontne kartice u svemu udovoljavaju definiciji informacije kakva je propisana odredbom članka 5. točka 3. Zakona o pravu na pristup informacijama prema kojoj je informacija svaki podatak koji posjeduje tijelo javne vlasti u obliku dokumenta, zapisa, dosjea, registra ili bilo kojeg drugog oblika, neovisno o načinu na koji je prikazana (napisani, nacrtani, tiskani, snimljeni, magnetni, optički, elektronički ili neki drugi </w:t>
      </w:r>
      <w:r w:rsidRPr="000407F8">
        <w:rPr>
          <w:rFonts w:ascii="Times New Roman" w:hAnsi="Times New Roman"/>
          <w:color w:val="000000"/>
          <w:sz w:val="27"/>
          <w:szCs w:val="27"/>
          <w:lang w:val="hr-HR" w:eastAsia="hr-HR"/>
        </w:rPr>
        <w:lastRenderedPageBreak/>
        <w:t>zapis). Pritom ovaj Sud ističe pravilnim zaključak tuženika da je korisnik prava na pristup informacijama tražio informaciju koja postoji već kao izrađena informacija, odnosno da se zatražena informacija može ispisati iz postojećeg programa u kojem se vodi proračunsko knjigovodstvo. Ovaj Sud ocjenjuje da je zainteresirana osoba zatražila jasno određene informacije koje tužitelj ima u svom posjedu.</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Kako su na temelju odredbe članka 16. stavak 3. Zakona o pravu na pristup informacijama informacije o raspolaganju javnim sredstvima dostupne javnosti i bez provođenja testa razmjernosti i javnog interesa, osim ako informacija predstavlja klasificirani podatak, to je prema ocjeni ovoga Suda osnovano tuženik odobrio pristup traženim informacijama pri čemu je obvezao tužitelja na ograničavanje pristupa informacijama prikrivanjem podataka fizičkih osoba koje su izvršile uplate u općinski proračun (imena i prezimena), što je nadalje sukladno odredbi članka 15. stavak 5. istog Zakona.</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Slijedom svega izloženog, pravilno je tuženik na temelju odredbe članka 117. stavka 1. Zakona o općem upravnom postupku (Narodne novine, broj 47/09.), poništio prvostupanjsko rješenje tužitelja, te je nadalje na temelju članka 25. stavka 7. Zakona o pravu na pristup informacijama, omogućio pristup traženim informacijama, pri čemu tužitelj treba poštovati ograničenje propisano odredbom članka 15. stavak 5. citiranog Zakona.</w:t>
      </w:r>
    </w:p>
    <w:p w:rsidR="000407F8" w:rsidRPr="000407F8" w:rsidRDefault="000407F8" w:rsidP="000407F8">
      <w:pPr>
        <w:overflowPunct/>
        <w:autoSpaceDE/>
        <w:autoSpaceDN/>
        <w:adjustRightInd/>
        <w:ind w:firstLine="720"/>
        <w:jc w:val="both"/>
        <w:rPr>
          <w:color w:val="000000"/>
          <w:sz w:val="27"/>
          <w:szCs w:val="27"/>
          <w:lang w:val="hr-HR" w:eastAsia="hr-HR"/>
        </w:rPr>
      </w:pPr>
      <w:r w:rsidRPr="000407F8">
        <w:rPr>
          <w:rFonts w:ascii="Times New Roman" w:hAnsi="Times New Roman"/>
          <w:color w:val="000000"/>
          <w:sz w:val="27"/>
          <w:szCs w:val="27"/>
          <w:lang w:val="hr-HR" w:eastAsia="hr-HR"/>
        </w:rPr>
        <w:t>Zbog svega navedenog, Sud je na temelju odredbe članka 57. stavka 1. ZUS-a, riješio kao u izreci presude.</w:t>
      </w:r>
    </w:p>
    <w:p w:rsidR="000407F8" w:rsidRPr="000407F8" w:rsidRDefault="000407F8" w:rsidP="000407F8">
      <w:pPr>
        <w:overflowPunct/>
        <w:autoSpaceDE/>
        <w:autoSpaceDN/>
        <w:adjustRightInd/>
        <w:jc w:val="both"/>
        <w:rPr>
          <w:color w:val="000000"/>
          <w:sz w:val="27"/>
          <w:szCs w:val="27"/>
          <w:lang w:val="hr-HR" w:eastAsia="hr-HR"/>
        </w:rPr>
      </w:pPr>
      <w:r w:rsidRPr="000407F8">
        <w:rPr>
          <w:rFonts w:ascii="Times New Roman" w:hAnsi="Times New Roman"/>
          <w:color w:val="000000"/>
          <w:sz w:val="27"/>
          <w:szCs w:val="27"/>
          <w:lang w:val="hr-HR" w:eastAsia="hr-HR"/>
        </w:rPr>
        <w:t> </w:t>
      </w:r>
    </w:p>
    <w:p w:rsidR="000407F8" w:rsidRPr="000407F8" w:rsidRDefault="000407F8" w:rsidP="000407F8">
      <w:pPr>
        <w:overflowPunct/>
        <w:autoSpaceDE/>
        <w:autoSpaceDN/>
        <w:adjustRightInd/>
        <w:ind w:firstLine="720"/>
        <w:jc w:val="center"/>
        <w:rPr>
          <w:color w:val="000000"/>
          <w:sz w:val="27"/>
          <w:szCs w:val="27"/>
          <w:lang w:val="hr-HR" w:eastAsia="hr-HR"/>
        </w:rPr>
      </w:pPr>
      <w:r w:rsidRPr="000407F8">
        <w:rPr>
          <w:rFonts w:ascii="Times New Roman" w:hAnsi="Times New Roman"/>
          <w:color w:val="000000"/>
          <w:sz w:val="27"/>
          <w:szCs w:val="27"/>
          <w:lang w:val="hr-HR" w:eastAsia="hr-HR"/>
        </w:rPr>
        <w:t>U Zagrebu 28. rujna 2016.</w:t>
      </w:r>
    </w:p>
    <w:p w:rsidR="000407F8" w:rsidRPr="000407F8" w:rsidRDefault="000407F8" w:rsidP="000407F8">
      <w:pPr>
        <w:overflowPunct/>
        <w:autoSpaceDE/>
        <w:autoSpaceDN/>
        <w:adjustRightInd/>
        <w:jc w:val="both"/>
        <w:rPr>
          <w:color w:val="000000"/>
          <w:sz w:val="27"/>
          <w:szCs w:val="27"/>
          <w:lang w:val="hr-HR" w:eastAsia="hr-HR"/>
        </w:rPr>
      </w:pPr>
      <w:r w:rsidRPr="000407F8">
        <w:rPr>
          <w:rFonts w:ascii="Times New Roman" w:hAnsi="Times New Roman"/>
          <w:color w:val="000000"/>
          <w:sz w:val="27"/>
          <w:szCs w:val="27"/>
          <w:lang w:val="hr-HR" w:eastAsia="hr-HR"/>
        </w:rPr>
        <w:t> </w:t>
      </w:r>
    </w:p>
    <w:p w:rsidR="000407F8" w:rsidRDefault="000407F8" w:rsidP="000407F8">
      <w:pPr>
        <w:overflowPunct/>
        <w:autoSpaceDE/>
        <w:autoSpaceDN/>
        <w:adjustRightInd/>
        <w:jc w:val="right"/>
        <w:rPr>
          <w:color w:val="000000"/>
          <w:sz w:val="27"/>
          <w:szCs w:val="27"/>
          <w:lang w:val="hr-HR" w:eastAsia="hr-HR"/>
        </w:rPr>
      </w:pPr>
      <w:r w:rsidRPr="000407F8">
        <w:rPr>
          <w:rFonts w:ascii="Times New Roman" w:hAnsi="Times New Roman"/>
          <w:color w:val="000000"/>
          <w:sz w:val="27"/>
          <w:szCs w:val="27"/>
          <w:lang w:val="hr-HR" w:eastAsia="hr-HR"/>
        </w:rPr>
        <w:t>                                                                                                                   Predsjednica vijeća</w:t>
      </w:r>
    </w:p>
    <w:p w:rsidR="000407F8" w:rsidRPr="000407F8" w:rsidRDefault="000407F8" w:rsidP="000407F8">
      <w:pPr>
        <w:overflowPunct/>
        <w:autoSpaceDE/>
        <w:autoSpaceDN/>
        <w:adjustRightInd/>
        <w:jc w:val="right"/>
        <w:rPr>
          <w:color w:val="000000"/>
          <w:sz w:val="27"/>
          <w:szCs w:val="27"/>
          <w:lang w:val="hr-HR" w:eastAsia="hr-HR"/>
        </w:rPr>
      </w:pPr>
      <w:r w:rsidRPr="000407F8">
        <w:rPr>
          <w:rFonts w:ascii="Times New Roman" w:hAnsi="Times New Roman"/>
          <w:color w:val="000000"/>
          <w:sz w:val="27"/>
          <w:szCs w:val="27"/>
          <w:lang w:val="hr-HR" w:eastAsia="hr-HR"/>
        </w:rPr>
        <w:t>Ana Berlengi Fellner, v.r.</w:t>
      </w:r>
    </w:p>
    <w:p w:rsidR="000407F8" w:rsidRPr="000407F8" w:rsidRDefault="000407F8" w:rsidP="000407F8">
      <w:pPr>
        <w:overflowPunct/>
        <w:autoSpaceDE/>
        <w:autoSpaceDN/>
        <w:adjustRightInd/>
        <w:jc w:val="right"/>
        <w:rPr>
          <w:color w:val="000000"/>
          <w:sz w:val="27"/>
          <w:szCs w:val="27"/>
          <w:lang w:val="hr-HR" w:eastAsia="hr-HR"/>
        </w:rPr>
      </w:pPr>
      <w:r w:rsidRPr="000407F8">
        <w:rPr>
          <w:rFonts w:ascii="Times New Roman" w:hAnsi="Times New Roman"/>
          <w:color w:val="000000"/>
          <w:sz w:val="27"/>
          <w:szCs w:val="27"/>
          <w:lang w:val="hr-HR" w:eastAsia="hr-HR"/>
        </w:rPr>
        <w:t> </w:t>
      </w:r>
    </w:p>
    <w:p w:rsidR="00CE0BCF" w:rsidRPr="00CE0BCF" w:rsidRDefault="00CE0BCF" w:rsidP="00CE0BCF">
      <w:pPr>
        <w:overflowPunct/>
        <w:autoSpaceDE/>
        <w:autoSpaceDN/>
        <w:adjustRightInd/>
        <w:rPr>
          <w:color w:val="000000"/>
          <w:sz w:val="27"/>
          <w:szCs w:val="27"/>
          <w:lang w:val="hr-HR" w:eastAsia="hr-HR"/>
        </w:rPr>
      </w:pPr>
      <w:r w:rsidRPr="00CE0BCF">
        <w:rPr>
          <w:rFonts w:ascii="Times New Roman" w:hAnsi="Times New Roman"/>
          <w:color w:val="000000"/>
          <w:sz w:val="27"/>
          <w:szCs w:val="27"/>
          <w:lang w:val="hr-HR" w:eastAsia="hr-HR"/>
        </w:rPr>
        <w:t> </w:t>
      </w:r>
    </w:p>
    <w:p w:rsidR="00CE0BCF" w:rsidRPr="00CE0BCF" w:rsidRDefault="00CE0BCF" w:rsidP="00CE0BCF">
      <w:pPr>
        <w:overflowPunct/>
        <w:autoSpaceDE/>
        <w:autoSpaceDN/>
        <w:adjustRightInd/>
        <w:rPr>
          <w:color w:val="000000"/>
          <w:sz w:val="27"/>
          <w:szCs w:val="27"/>
          <w:lang w:val="hr-HR" w:eastAsia="hr-HR"/>
        </w:rPr>
      </w:pPr>
      <w:r w:rsidRPr="00CE0BCF">
        <w:rPr>
          <w:rFonts w:ascii="Times New Roman" w:hAnsi="Times New Roman"/>
          <w:color w:val="000000"/>
          <w:sz w:val="27"/>
          <w:szCs w:val="27"/>
          <w:lang w:val="hr-HR" w:eastAsia="hr-HR"/>
        </w:rPr>
        <w:t> </w:t>
      </w:r>
    </w:p>
    <w:p w:rsidR="00CE0BCF" w:rsidRDefault="00CE0BCF" w:rsidP="00CE0BCF">
      <w:pPr>
        <w:overflowPunct/>
        <w:autoSpaceDE/>
        <w:adjustRightInd/>
        <w:jc w:val="both"/>
        <w:rPr>
          <w:color w:val="000000"/>
          <w:sz w:val="27"/>
          <w:szCs w:val="27"/>
          <w:lang w:val="hr-HR" w:eastAsia="hr-HR"/>
        </w:rPr>
      </w:pPr>
      <w:r>
        <w:rPr>
          <w:rFonts w:ascii="Times New Roman" w:hAnsi="Times New Roman"/>
          <w:color w:val="000000"/>
          <w:sz w:val="27"/>
          <w:szCs w:val="27"/>
          <w:lang w:val="hr-HR" w:eastAsia="hr-HR"/>
        </w:rPr>
        <w:t> </w:t>
      </w:r>
    </w:p>
    <w:p w:rsidR="00CE0BCF" w:rsidRDefault="00CE0BCF" w:rsidP="00CE0BCF">
      <w:pPr>
        <w:jc w:val="center"/>
        <w:rPr>
          <w:rFonts w:ascii="Times New Roman" w:hAnsi="Times New Roman"/>
          <w:lang w:val="hr-HR"/>
        </w:rPr>
      </w:pPr>
    </w:p>
    <w:p w:rsidR="00CE0BCF" w:rsidRDefault="00CE0BCF" w:rsidP="00CE0BCF"/>
    <w:p w:rsidR="007C2868" w:rsidRDefault="007C2868"/>
    <w:sectPr w:rsidR="007C2868" w:rsidSect="00CE0BC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F9C" w:rsidRDefault="000B1F9C" w:rsidP="00CE0BCF">
      <w:r>
        <w:separator/>
      </w:r>
    </w:p>
  </w:endnote>
  <w:endnote w:type="continuationSeparator" w:id="1">
    <w:p w:rsidR="000B1F9C" w:rsidRDefault="000B1F9C" w:rsidP="00CE0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F8" w:rsidRDefault="000407F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F8" w:rsidRDefault="000407F8">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F8" w:rsidRDefault="000407F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F9C" w:rsidRDefault="000B1F9C" w:rsidP="00CE0BCF">
      <w:r>
        <w:separator/>
      </w:r>
    </w:p>
  </w:footnote>
  <w:footnote w:type="continuationSeparator" w:id="1">
    <w:p w:rsidR="000B1F9C" w:rsidRDefault="000B1F9C" w:rsidP="00CE0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F8" w:rsidRDefault="000407F8">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CF" w:rsidRPr="00F11AB3" w:rsidRDefault="00CE0BCF" w:rsidP="00CE0BCF">
    <w:pPr>
      <w:pStyle w:val="Zaglavlje"/>
      <w:rPr>
        <w:rFonts w:ascii="Times New Roman" w:hAnsi="Times New Roman"/>
      </w:rPr>
    </w:pPr>
    <w:r>
      <w:rPr>
        <w:rFonts w:ascii="Times New Roman" w:hAnsi="Times New Roman"/>
      </w:rPr>
      <w:t xml:space="preserve">                                                                          </w:t>
    </w:r>
    <w:r w:rsidRPr="00F11AB3">
      <w:rPr>
        <w:rFonts w:ascii="Times New Roman" w:hAnsi="Times New Roman"/>
      </w:rPr>
      <w:t xml:space="preserve">- </w:t>
    </w:r>
    <w:r w:rsidR="00A76F4D" w:rsidRPr="00F11AB3">
      <w:rPr>
        <w:rFonts w:ascii="Times New Roman" w:hAnsi="Times New Roman"/>
      </w:rPr>
      <w:fldChar w:fldCharType="begin"/>
    </w:r>
    <w:r w:rsidRPr="00F11AB3">
      <w:rPr>
        <w:rFonts w:ascii="Times New Roman" w:hAnsi="Times New Roman"/>
      </w:rPr>
      <w:instrText xml:space="preserve"> PAGE  \* MERGEFORMAT </w:instrText>
    </w:r>
    <w:r w:rsidR="00A76F4D" w:rsidRPr="00F11AB3">
      <w:rPr>
        <w:rFonts w:ascii="Times New Roman" w:hAnsi="Times New Roman"/>
      </w:rPr>
      <w:fldChar w:fldCharType="separate"/>
    </w:r>
    <w:r w:rsidR="000407F8">
      <w:rPr>
        <w:rFonts w:ascii="Times New Roman" w:hAnsi="Times New Roman"/>
        <w:noProof/>
      </w:rPr>
      <w:t>2</w:t>
    </w:r>
    <w:r w:rsidR="00A76F4D" w:rsidRPr="00F11AB3">
      <w:rPr>
        <w:rFonts w:ascii="Times New Roman" w:hAnsi="Times New Roman"/>
      </w:rPr>
      <w:fldChar w:fldCharType="end"/>
    </w:r>
    <w:r>
      <w:rPr>
        <w:rFonts w:ascii="Times New Roman" w:hAnsi="Times New Roman"/>
      </w:rPr>
      <w:t xml:space="preserve"> -                        Poslovni broj: UsII-9</w:t>
    </w:r>
    <w:r w:rsidR="000407F8">
      <w:rPr>
        <w:rFonts w:ascii="Times New Roman" w:hAnsi="Times New Roman"/>
      </w:rPr>
      <w:t>5/16-8</w:t>
    </w:r>
  </w:p>
  <w:p w:rsidR="00CE0BCF" w:rsidRDefault="00CE0BCF">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F8" w:rsidRDefault="000407F8">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E0BCF"/>
    <w:rsid w:val="00001E34"/>
    <w:rsid w:val="000172A9"/>
    <w:rsid w:val="000407F8"/>
    <w:rsid w:val="000B1F9C"/>
    <w:rsid w:val="00112528"/>
    <w:rsid w:val="001615B7"/>
    <w:rsid w:val="001C56A0"/>
    <w:rsid w:val="00201A2C"/>
    <w:rsid w:val="0021561F"/>
    <w:rsid w:val="00330FDD"/>
    <w:rsid w:val="00332BE6"/>
    <w:rsid w:val="00363FB8"/>
    <w:rsid w:val="003C7A1B"/>
    <w:rsid w:val="003D3FE3"/>
    <w:rsid w:val="004037AA"/>
    <w:rsid w:val="004A0465"/>
    <w:rsid w:val="004A073E"/>
    <w:rsid w:val="004B2546"/>
    <w:rsid w:val="004C6299"/>
    <w:rsid w:val="005642B8"/>
    <w:rsid w:val="0056586F"/>
    <w:rsid w:val="005E05A2"/>
    <w:rsid w:val="00632FC1"/>
    <w:rsid w:val="00633E3F"/>
    <w:rsid w:val="006D098C"/>
    <w:rsid w:val="006D0BFA"/>
    <w:rsid w:val="006F4AB7"/>
    <w:rsid w:val="00701F49"/>
    <w:rsid w:val="007868FB"/>
    <w:rsid w:val="007C2868"/>
    <w:rsid w:val="007C2CF5"/>
    <w:rsid w:val="00853863"/>
    <w:rsid w:val="008742F0"/>
    <w:rsid w:val="0087585B"/>
    <w:rsid w:val="008B008D"/>
    <w:rsid w:val="008E22C2"/>
    <w:rsid w:val="008F373E"/>
    <w:rsid w:val="00902712"/>
    <w:rsid w:val="00930483"/>
    <w:rsid w:val="00993168"/>
    <w:rsid w:val="009E23E5"/>
    <w:rsid w:val="009F0989"/>
    <w:rsid w:val="009F3214"/>
    <w:rsid w:val="00A60F0B"/>
    <w:rsid w:val="00A6524D"/>
    <w:rsid w:val="00A76F4D"/>
    <w:rsid w:val="00AE6791"/>
    <w:rsid w:val="00B71760"/>
    <w:rsid w:val="00B80E82"/>
    <w:rsid w:val="00BB0215"/>
    <w:rsid w:val="00BB5FAF"/>
    <w:rsid w:val="00BE5928"/>
    <w:rsid w:val="00C53C7F"/>
    <w:rsid w:val="00C5488B"/>
    <w:rsid w:val="00C62DA8"/>
    <w:rsid w:val="00C70A09"/>
    <w:rsid w:val="00C917F2"/>
    <w:rsid w:val="00C933A1"/>
    <w:rsid w:val="00CA6A40"/>
    <w:rsid w:val="00CB0F84"/>
    <w:rsid w:val="00CE0BCF"/>
    <w:rsid w:val="00D007F4"/>
    <w:rsid w:val="00DF1945"/>
    <w:rsid w:val="00E9134A"/>
    <w:rsid w:val="00EA3C09"/>
    <w:rsid w:val="00EF130C"/>
    <w:rsid w:val="00F15C79"/>
    <w:rsid w:val="00F279B1"/>
    <w:rsid w:val="00F55891"/>
    <w:rsid w:val="00F75ED4"/>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CF"/>
    <w:pPr>
      <w:overflowPunct w:val="0"/>
      <w:autoSpaceDE w:val="0"/>
      <w:autoSpaceDN w:val="0"/>
      <w:adjustRightInd w:val="0"/>
      <w:spacing w:after="0" w:line="240" w:lineRule="auto"/>
      <w:jc w:val="left"/>
    </w:pPr>
    <w:rPr>
      <w:rFonts w:ascii="CG Times" w:eastAsia="Times New Roman" w:hAnsi="CG Times" w:cs="Times New Roman"/>
      <w:sz w:val="24"/>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CE0BCF"/>
  </w:style>
  <w:style w:type="paragraph" w:styleId="Zaglavlje">
    <w:name w:val="header"/>
    <w:basedOn w:val="Normal"/>
    <w:link w:val="ZaglavljeChar"/>
    <w:uiPriority w:val="99"/>
    <w:semiHidden/>
    <w:unhideWhenUsed/>
    <w:rsid w:val="00CE0BCF"/>
    <w:pPr>
      <w:tabs>
        <w:tab w:val="center" w:pos="4536"/>
        <w:tab w:val="right" w:pos="9072"/>
      </w:tabs>
    </w:pPr>
  </w:style>
  <w:style w:type="character" w:customStyle="1" w:styleId="ZaglavljeChar">
    <w:name w:val="Zaglavlje Char"/>
    <w:basedOn w:val="Zadanifontodlomka"/>
    <w:link w:val="Zaglavlje"/>
    <w:uiPriority w:val="99"/>
    <w:semiHidden/>
    <w:rsid w:val="00CE0BCF"/>
    <w:rPr>
      <w:rFonts w:ascii="CG Times" w:eastAsia="Times New Roman" w:hAnsi="CG Times" w:cs="Times New Roman"/>
      <w:sz w:val="24"/>
      <w:szCs w:val="20"/>
      <w:lang w:val="en-US"/>
    </w:rPr>
  </w:style>
  <w:style w:type="paragraph" w:styleId="Podnoje">
    <w:name w:val="footer"/>
    <w:basedOn w:val="Normal"/>
    <w:link w:val="PodnojeChar"/>
    <w:uiPriority w:val="99"/>
    <w:semiHidden/>
    <w:unhideWhenUsed/>
    <w:rsid w:val="00CE0BCF"/>
    <w:pPr>
      <w:tabs>
        <w:tab w:val="center" w:pos="4536"/>
        <w:tab w:val="right" w:pos="9072"/>
      </w:tabs>
    </w:pPr>
  </w:style>
  <w:style w:type="character" w:customStyle="1" w:styleId="PodnojeChar">
    <w:name w:val="Podnožje Char"/>
    <w:basedOn w:val="Zadanifontodlomka"/>
    <w:link w:val="Podnoje"/>
    <w:uiPriority w:val="99"/>
    <w:semiHidden/>
    <w:rsid w:val="00CE0BCF"/>
    <w:rPr>
      <w:rFonts w:ascii="CG Times" w:eastAsia="Times New Roman" w:hAnsi="CG 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925500786">
      <w:bodyDiv w:val="1"/>
      <w:marLeft w:val="0"/>
      <w:marRight w:val="0"/>
      <w:marTop w:val="0"/>
      <w:marBottom w:val="0"/>
      <w:divBdr>
        <w:top w:val="none" w:sz="0" w:space="0" w:color="auto"/>
        <w:left w:val="none" w:sz="0" w:space="0" w:color="auto"/>
        <w:bottom w:val="none" w:sz="0" w:space="0" w:color="auto"/>
        <w:right w:val="none" w:sz="0" w:space="0" w:color="auto"/>
      </w:divBdr>
    </w:div>
    <w:div w:id="1022241190">
      <w:bodyDiv w:val="1"/>
      <w:marLeft w:val="0"/>
      <w:marRight w:val="0"/>
      <w:marTop w:val="0"/>
      <w:marBottom w:val="0"/>
      <w:divBdr>
        <w:top w:val="none" w:sz="0" w:space="0" w:color="auto"/>
        <w:left w:val="none" w:sz="0" w:space="0" w:color="auto"/>
        <w:bottom w:val="none" w:sz="0" w:space="0" w:color="auto"/>
        <w:right w:val="none" w:sz="0" w:space="0" w:color="auto"/>
      </w:divBdr>
    </w:div>
    <w:div w:id="11340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2170</Words>
  <Characters>12371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2016-10-12T06:32:00Z</dcterms:created>
  <dcterms:modified xsi:type="dcterms:W3CDTF">2017-03-22T08:38:00Z</dcterms:modified>
</cp:coreProperties>
</file>